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ptos Display" w:hAnsi="Aptos Display" w:eastAsia="Aptos Display" w:cs="Aptos Display"/>
          <w:b/>
          <w:color w:val="176B87"/>
          <w:sz w:val="44"/>
        </w:rPr>
        <w:t>EMJ.LIFE</w:t>
      </w:r>
    </w:p>
    <w:p>
      <w:pPr>
        <w:jc w:val="right"/>
      </w:pPr>
      <w:r>
        <w:rPr>
          <w:rFonts w:ascii="Aptos" w:hAnsi="Aptos" w:eastAsia="Aptos" w:cs="Aptos"/>
          <w:b/>
          <w:color w:val="0A2F40"/>
          <w:sz w:val="16"/>
        </w:rPr>
        <w:t>PRE-DISCLOSURE EVIDENCE INFRASTRUCTURE</w:t>
      </w:r>
    </w:p>
    <w:p>
      <w:r>
        <w:br/>
        <w:br/>
      </w:r>
    </w:p>
    <w:p>
      <w:pPr>
        <w:pStyle w:val="Title"/>
      </w:pPr>
      <w:r>
        <w:t>The Institutional Authority Firewall</w:t>
      </w:r>
    </w:p>
    <w:p>
      <w:pPr>
        <w:pStyle w:val="Subtitle"/>
      </w:pPr>
      <w:r>
        <w:t>Authority Non-Transitivity in Machine-Readable Evidence Infrastructure</w:t>
      </w:r>
    </w:p>
    <w:p>
      <w:r>
        <w:br/>
      </w:r>
    </w:p>
    <w:p>
      <w:pPr>
        <w:jc w:val="center"/>
      </w:pPr>
      <w:r>
        <w:rPr>
          <w:rFonts w:ascii="Aptos Display" w:hAnsi="Aptos Display" w:eastAsia="Aptos Display" w:cs="Aptos Display"/>
          <w:i/>
          <w:color w:val="0A2F40"/>
          <w:sz w:val="26"/>
        </w:rPr>
        <w:t>Evidence may travel. Authority does not.</w:t>
      </w:r>
    </w:p>
    <w:p>
      <w:r>
        <w:br/>
        <w:br/>
      </w:r>
    </w:p>
    <w:p>
      <w:pPr>
        <w:jc w:val="left"/>
      </w:pPr>
      <w:r>
        <w:rPr>
          <w:rFonts w:ascii="Aptos" w:hAnsi="Aptos" w:eastAsia="Aptos" w:cs="Aptos"/>
          <w:color w:val="0A2F40"/>
          <w:sz w:val="18"/>
        </w:rPr>
        <w:t>Institutional Analytical Paper</w:t>
      </w:r>
    </w:p>
    <w:p>
      <w:pPr>
        <w:jc w:val="left"/>
      </w:pPr>
      <w:r>
        <w:rPr>
          <w:rFonts w:ascii="Aptos" w:hAnsi="Aptos" w:eastAsia="Aptos" w:cs="Aptos"/>
          <w:color w:val="0A2F40"/>
          <w:sz w:val="18"/>
        </w:rPr>
        <w:t>Version 1.0</w:t>
      </w:r>
    </w:p>
    <w:p>
      <w:pPr>
        <w:jc w:val="left"/>
      </w:pPr>
      <w:r>
        <w:rPr>
          <w:rFonts w:ascii="Aptos" w:hAnsi="Aptos" w:eastAsia="Aptos" w:cs="Aptos"/>
          <w:color w:val="0A2F40"/>
          <w:sz w:val="18"/>
        </w:rPr>
        <w:t>Publication date  21 September 2026</w:t>
      </w:r>
    </w:p>
    <w:p>
      <w:r>
        <w:rPr>
          <w:rFonts w:ascii="Aptos" w:hAnsi="Aptos" w:eastAsia="Aptos" w:cs="Aptos"/>
          <w:b/>
          <w:color w:val="0A2F40"/>
          <w:sz w:val="18"/>
        </w:rPr>
        <w:t xml:space="preserve">DOI  </w:t>
      </w:r>
      <w:hyperlink r:id="rId9">
        <w:r>
          <w:rPr>
            <w:color w:val="176B87"/>
            <w:u w:val="single"/>
          </w:rPr>
          <w:t>10.64969/emj.firewall.cd.2026.09.21</w:t>
        </w:r>
      </w:hyperlink>
    </w:p>
    <w:p>
      <w:r>
        <w:br w:type="page"/>
      </w:r>
    </w:p>
    <w:p>
      <w:pPr>
        <w:pStyle w:val="Heading1"/>
      </w:pPr>
      <w:r>
        <w:t>Controlled Publication Record</w:t>
      </w:r>
    </w:p>
    <w:tbl>
      <w:tblPr>
        <w:tblW w:type="auto" w:w="0"/>
        <w:tblLayout w:type="fixed"/>
        <w:tblLook w:firstColumn="1" w:firstRow="1" w:lastColumn="0" w:lastRow="0" w:noHBand="0" w:noVBand="1" w:val="04A0"/>
      </w:tblPr>
      <w:tblGrid>
        <w:gridCol w:w="2381"/>
        <w:gridCol w:w="6350"/>
      </w:tblGrid>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Document title</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The Institutional Authority Firewall</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Subtitle</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Authority Non-Transitivity in Machine-Readable Evidence Infrastructure</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Publication type</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Institutional Analytical Paper</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Document function</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Machine-readable institutional authority governance framework</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Author</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Anderson Yu</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ORCID</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hyperlink r:id="rId10">
              <w:r>
                <w:rPr>
                  <w:color w:val="176B87"/>
                  <w:u w:val="single"/>
                </w:rPr>
                <w:t>0009-0002-2161-5808</w:t>
              </w:r>
            </w:hyperlink>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Publisher</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EMJ LIFE HOLDINGS PTE. LTD.</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Version</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1.0</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Publication date</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21 September 2026</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DOI</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hyperlink r:id="rId9">
              <w:r>
                <w:rPr>
                  <w:color w:val="176B87"/>
                  <w:u w:val="single"/>
                </w:rPr>
                <w:t>10.64969/emj.firewall.cd.2026.09.21</w:t>
              </w:r>
            </w:hyperlink>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Status</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Publication-Ready Controlled Version</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Relationship to Firewall-CD</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Analytical Companion; GWP00; DOI 10.64969/emj.nexus.firewall.2026.01.01</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Relationship to MWP04-AIEDSM</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Analytical Companion; DOI 10.64969/emj.mwp04.aiedsm.2026.v1.0</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Document ID</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EMJ-FIREWALL-CD-20260921</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DOI registration status</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Pending Registration</w:t>
            </w:r>
          </w:p>
        </w:tc>
      </w:tr>
      <w:tr>
        <w:trPr>
          <w:cantSplit/>
        </w:trPr>
        <w:tc>
          <w:tcPr>
            <w:tcW w:type="dxa" w:w="2381"/>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b/>
                <w:color w:val="0A2F40"/>
                <w:sz w:val="16"/>
              </w:rPr>
              <w:t>Canonical URL</w:t>
            </w:r>
          </w:p>
        </w:tc>
        <w:tc>
          <w:tcPr>
            <w:tcW w:type="dxa" w:w="6350"/>
            <w:tcMar>
              <w:top w:w="110" w:type="dxa"/>
              <w:start w:w="120" w:type="dxa"/>
              <w:bottom w:w="110" w:type="dxa"/>
              <w:end w:w="120" w:type="dxa"/>
            </w:tcMar>
            <w:tcBorders>
              <w:top w:val="single" w:sz="4" w:color="D9E0E3"/>
              <w:left w:val="single" w:sz="4" w:color="D9E0E3"/>
              <w:bottom w:val="single" w:sz="4" w:color="D9E0E3"/>
              <w:right w:val="single" w:sz="4" w:color="D9E0E3"/>
              <w:insideH w:val="single" w:sz="4" w:color="D9E0E3"/>
              <w:insideV w:val="single" w:sz="4" w:color="D9E0E3"/>
            </w:tcBorders>
            <w:vAlign w:val="center"/>
          </w:tcPr>
          <w:p>
            <w:r>
              <w:rPr>
                <w:rFonts w:ascii="Aptos" w:hAnsi="Aptos" w:eastAsia="Aptos" w:cs="Aptos"/>
                <w:color w:val="15191B"/>
                <w:sz w:val="16"/>
              </w:rPr>
              <w:t>https://www.emj.life/publication-authority-firewall</w:t>
            </w:r>
          </w:p>
        </w:tc>
      </w:tr>
    </w:tbl>
    <w:p>
      <w:pPr>
        <w:pStyle w:val="Heading2"/>
      </w:pPr>
      <w:r>
        <w:t>Publication controls</w:t>
      </w:r>
    </w:p>
    <w:p>
      <w:r>
        <w:rPr>
          <w:rFonts w:ascii="Aptos" w:hAnsi="Aptos" w:eastAsia="Aptos" w:cs="Aptos"/>
          <w:color w:val="15191B"/>
          <w:sz w:val="21"/>
        </w:rPr>
        <w:t>This controlled version fixes the institutional identity, version, publication date, DOI, authority boundary and canonical citation. Any later substantive amendment must be issued as a separately identified version.</w:t>
      </w:r>
    </w:p>
    <w:p>
      <w:r>
        <w:br w:type="page"/>
      </w:r>
    </w:p>
    <w:p>
      <w:pPr>
        <w:pStyle w:val="Heading1"/>
      </w:pPr>
      <w:r>
        <w:t>Publication and Authority Boundary</w:t>
      </w:r>
    </w:p>
    <w:p>
      <w:r>
        <w:t>This is an independent institutional analytical paper. It is not an official standard, regulatory instrument, assurance opinion, certification, legal interpretation or delegated statement of any referenced institution.</w:t>
      </w:r>
    </w:p>
    <w:p>
      <w:r>
        <w:t>Citation, licensing, registration, membership, retrieval, mapping and machine-readable linkage do not transfer institutional authority. The publisher and author remain responsible for the analysis and its stated limitations.</w:t>
      </w:r>
    </w:p>
    <w:p>
      <w:r>
        <w:t>Copyright © 2026 EMJ LIFE HOLDINGS PTE. LTD. All rights reserved. No public reuse licence is asserted by this controlled version.</w:t>
      </w:r>
    </w:p>
    <w:p>
      <w:pPr/>
      <w:r>
        <w:t>Public machine access supports retrieval and citation only. It does not itself authorise model training, bulk extraction, corpus replication, restricted reuse, access to restricted evidence, or automated institutional action.</w:t>
      </w:r>
    </w:p>
    <w:p>
      <w:r>
        <w:br w:type="page"/>
      </w:r>
    </w:p>
    <w:p>
      <w:pPr>
        <w:pStyle w:val="Heading1"/>
      </w:pPr>
      <w:r>
        <w:t>Contents</w:t>
      </w:r>
    </w:p>
    <w:p>
      <w:pPr>
        <w:spacing w:after="44" w:line="240" w:lineRule="auto"/>
        <w:tabs>
          <w:tab w:val="right" w:leader="dot" w:pos="9000"/>
        </w:tabs>
      </w:pPr>
      <w:r>
        <w:rPr>
          <w:rFonts w:ascii="Aptos" w:hAnsi="Aptos" w:eastAsia="Aptos" w:cs="Aptos"/>
          <w:b/>
          <w:color w:val="0A2F40"/>
          <w:sz w:val="17"/>
        </w:rPr>
        <w:t>Abstract</w:t>
      </w:r>
      <w:r>
        <w:rPr>
          <w:rFonts w:ascii="Aptos" w:hAnsi="Aptos" w:eastAsia="Aptos" w:cs="Aptos"/>
          <w:b/>
          <w:color w:val="0A2F40"/>
          <w:sz w:val="17"/>
        </w:rPr>
        <w:tab/>
        <w:t>6</w:t>
      </w:r>
    </w:p>
    <w:p>
      <w:pPr>
        <w:spacing w:after="44" w:line="240" w:lineRule="auto"/>
        <w:tabs>
          <w:tab w:val="right" w:leader="dot" w:pos="9000"/>
        </w:tabs>
      </w:pPr>
      <w:r>
        <w:rPr>
          <w:rFonts w:ascii="Aptos" w:hAnsi="Aptos" w:eastAsia="Aptos" w:cs="Aptos"/>
          <w:b/>
          <w:color w:val="0A2F40"/>
          <w:sz w:val="17"/>
        </w:rPr>
        <w:t>00. Canonical Identity</w:t>
      </w:r>
      <w:r>
        <w:rPr>
          <w:rFonts w:ascii="Aptos" w:hAnsi="Aptos" w:eastAsia="Aptos" w:cs="Aptos"/>
          <w:b/>
          <w:color w:val="0A2F40"/>
          <w:sz w:val="17"/>
        </w:rPr>
        <w:tab/>
        <w:t>6</w:t>
      </w:r>
    </w:p>
    <w:p>
      <w:pPr>
        <w:spacing w:after="44" w:line="240" w:lineRule="auto"/>
        <w:tabs>
          <w:tab w:val="right" w:leader="dot" w:pos="9000"/>
        </w:tabs>
      </w:pPr>
      <w:r>
        <w:rPr>
          <w:rFonts w:ascii="Aptos" w:hAnsi="Aptos" w:eastAsia="Aptos" w:cs="Aptos"/>
          <w:b/>
          <w:color w:val="0A2F40"/>
          <w:sz w:val="17"/>
        </w:rPr>
        <w:t>01. What Problem Does This Paper Solve?</w:t>
      </w:r>
      <w:r>
        <w:rPr>
          <w:rFonts w:ascii="Aptos" w:hAnsi="Aptos" w:eastAsia="Aptos" w:cs="Aptos"/>
          <w:b/>
          <w:color w:val="0A2F40"/>
          <w:sz w:val="17"/>
        </w:rPr>
        <w:tab/>
        <w:t>7</w:t>
      </w:r>
    </w:p>
    <w:p>
      <w:pPr>
        <w:spacing w:after="44" w:line="240" w:lineRule="auto"/>
        <w:tabs>
          <w:tab w:val="right" w:leader="dot" w:pos="9000"/>
        </w:tabs>
      </w:pPr>
      <w:r>
        <w:rPr>
          <w:rFonts w:ascii="Aptos" w:hAnsi="Aptos" w:eastAsia="Aptos" w:cs="Aptos"/>
          <w:b/>
          <w:color w:val="0A2F40"/>
          <w:sz w:val="17"/>
        </w:rPr>
        <w:t>02. Core Doctrine</w:t>
      </w:r>
      <w:r>
        <w:rPr>
          <w:rFonts w:ascii="Aptos" w:hAnsi="Aptos" w:eastAsia="Aptos" w:cs="Aptos"/>
          <w:b/>
          <w:color w:val="0A2F40"/>
          <w:sz w:val="17"/>
        </w:rPr>
        <w:tab/>
        <w:t>8</w:t>
      </w:r>
    </w:p>
    <w:p>
      <w:pPr>
        <w:spacing w:after="44" w:line="240" w:lineRule="auto"/>
        <w:tabs>
          <w:tab w:val="right" w:leader="dot" w:pos="9000"/>
        </w:tabs>
      </w:pPr>
      <w:r>
        <w:rPr>
          <w:rFonts w:ascii="Aptos" w:hAnsi="Aptos" w:eastAsia="Aptos" w:cs="Aptos"/>
          <w:b/>
          <w:color w:val="0A2F40"/>
          <w:sz w:val="17"/>
        </w:rPr>
        <w:t>03. The Three-Layer Institutional Authority Firewall</w:t>
      </w:r>
      <w:r>
        <w:rPr>
          <w:rFonts w:ascii="Aptos" w:hAnsi="Aptos" w:eastAsia="Aptos" w:cs="Aptos"/>
          <w:b/>
          <w:color w:val="0A2F40"/>
          <w:sz w:val="17"/>
        </w:rPr>
        <w:tab/>
        <w:t>8</w:t>
      </w:r>
    </w:p>
    <w:p>
      <w:pPr>
        <w:spacing w:after="44" w:line="240" w:lineRule="auto"/>
        <w:tabs>
          <w:tab w:val="right" w:leader="dot" w:pos="9000"/>
        </w:tabs>
      </w:pPr>
      <w:r>
        <w:rPr>
          <w:rFonts w:ascii="Aptos" w:hAnsi="Aptos" w:eastAsia="Aptos" w:cs="Aptos"/>
          <w:b/>
          <w:color w:val="0A2F40"/>
          <w:sz w:val="17"/>
        </w:rPr>
        <w:t>04. Authority Edge Typing</w:t>
      </w:r>
      <w:r>
        <w:rPr>
          <w:rFonts w:ascii="Aptos" w:hAnsi="Aptos" w:eastAsia="Aptos" w:cs="Aptos"/>
          <w:b/>
          <w:color w:val="0A2F40"/>
          <w:sz w:val="17"/>
        </w:rPr>
        <w:tab/>
        <w:t>10</w:t>
      </w:r>
    </w:p>
    <w:p>
      <w:pPr>
        <w:spacing w:after="44" w:line="240" w:lineRule="auto"/>
        <w:tabs>
          <w:tab w:val="right" w:leader="dot" w:pos="9000"/>
        </w:tabs>
      </w:pPr>
      <w:r>
        <w:rPr>
          <w:rFonts w:ascii="Aptos" w:hAnsi="Aptos" w:eastAsia="Aptos" w:cs="Aptos"/>
          <w:b/>
          <w:color w:val="0A2F40"/>
          <w:sz w:val="17"/>
        </w:rPr>
        <w:t>05. Authority Scope Principle</w:t>
      </w:r>
      <w:r>
        <w:rPr>
          <w:rFonts w:ascii="Aptos" w:hAnsi="Aptos" w:eastAsia="Aptos" w:cs="Aptos"/>
          <w:b/>
          <w:color w:val="0A2F40"/>
          <w:sz w:val="17"/>
        </w:rPr>
        <w:tab/>
        <w:t>10</w:t>
      </w:r>
    </w:p>
    <w:p>
      <w:pPr>
        <w:spacing w:after="44" w:line="240" w:lineRule="auto"/>
        <w:tabs>
          <w:tab w:val="right" w:leader="dot" w:pos="9000"/>
        </w:tabs>
      </w:pPr>
      <w:r>
        <w:rPr>
          <w:rFonts w:ascii="Aptos" w:hAnsi="Aptos" w:eastAsia="Aptos" w:cs="Aptos"/>
          <w:b/>
          <w:color w:val="0A2F40"/>
          <w:sz w:val="17"/>
        </w:rPr>
        <w:t>06. Temporal Authority</w:t>
      </w:r>
      <w:r>
        <w:rPr>
          <w:rFonts w:ascii="Aptos" w:hAnsi="Aptos" w:eastAsia="Aptos" w:cs="Aptos"/>
          <w:b/>
          <w:color w:val="0A2F40"/>
          <w:sz w:val="17"/>
        </w:rPr>
        <w:tab/>
        <w:t>11</w:t>
      </w:r>
    </w:p>
    <w:p>
      <w:pPr>
        <w:spacing w:after="44" w:line="240" w:lineRule="auto"/>
        <w:tabs>
          <w:tab w:val="right" w:leader="dot" w:pos="9000"/>
        </w:tabs>
      </w:pPr>
      <w:r>
        <w:rPr>
          <w:rFonts w:ascii="Aptos" w:hAnsi="Aptos" w:eastAsia="Aptos" w:cs="Aptos"/>
          <w:b/>
          <w:color w:val="0A2F40"/>
          <w:sz w:val="17"/>
        </w:rPr>
        <w:t>07. Evidence Is Not Judgment</w:t>
      </w:r>
      <w:r>
        <w:rPr>
          <w:rFonts w:ascii="Aptos" w:hAnsi="Aptos" w:eastAsia="Aptos" w:cs="Aptos"/>
          <w:b/>
          <w:color w:val="0A2F40"/>
          <w:sz w:val="17"/>
        </w:rPr>
        <w:tab/>
        <w:t>11</w:t>
      </w:r>
    </w:p>
    <w:p>
      <w:pPr>
        <w:spacing w:after="44" w:line="240" w:lineRule="auto"/>
        <w:tabs>
          <w:tab w:val="right" w:leader="dot" w:pos="9000"/>
        </w:tabs>
      </w:pPr>
      <w:r>
        <w:rPr>
          <w:rFonts w:ascii="Aptos" w:hAnsi="Aptos" w:eastAsia="Aptos" w:cs="Aptos"/>
          <w:b/>
          <w:color w:val="0A2F40"/>
          <w:sz w:val="17"/>
        </w:rPr>
        <w:t>08. Mapping Is Not Equivalence</w:t>
      </w:r>
      <w:r>
        <w:rPr>
          <w:rFonts w:ascii="Aptos" w:hAnsi="Aptos" w:eastAsia="Aptos" w:cs="Aptos"/>
          <w:b/>
          <w:color w:val="0A2F40"/>
          <w:sz w:val="17"/>
        </w:rPr>
        <w:tab/>
        <w:t>12</w:t>
      </w:r>
    </w:p>
    <w:p>
      <w:pPr>
        <w:spacing w:after="44" w:line="240" w:lineRule="auto"/>
        <w:tabs>
          <w:tab w:val="right" w:leader="dot" w:pos="9000"/>
        </w:tabs>
      </w:pPr>
      <w:r>
        <w:rPr>
          <w:rFonts w:ascii="Aptos" w:hAnsi="Aptos" w:eastAsia="Aptos" w:cs="Aptos"/>
          <w:b/>
          <w:color w:val="0A2F40"/>
          <w:sz w:val="17"/>
        </w:rPr>
        <w:t>09. Licensing Is Not Endorsement</w:t>
      </w:r>
      <w:r>
        <w:rPr>
          <w:rFonts w:ascii="Aptos" w:hAnsi="Aptos" w:eastAsia="Aptos" w:cs="Aptos"/>
          <w:b/>
          <w:color w:val="0A2F40"/>
          <w:sz w:val="17"/>
        </w:rPr>
        <w:tab/>
        <w:t>12</w:t>
      </w:r>
    </w:p>
    <w:p>
      <w:pPr>
        <w:spacing w:after="44" w:line="240" w:lineRule="auto"/>
        <w:tabs>
          <w:tab w:val="right" w:leader="dot" w:pos="9000"/>
        </w:tabs>
      </w:pPr>
      <w:r>
        <w:rPr>
          <w:rFonts w:ascii="Aptos" w:hAnsi="Aptos" w:eastAsia="Aptos" w:cs="Aptos"/>
          <w:b/>
          <w:color w:val="0A2F40"/>
          <w:sz w:val="17"/>
        </w:rPr>
        <w:t>10. DOI Is Not Validation</w:t>
      </w:r>
      <w:r>
        <w:rPr>
          <w:rFonts w:ascii="Aptos" w:hAnsi="Aptos" w:eastAsia="Aptos" w:cs="Aptos"/>
          <w:b/>
          <w:color w:val="0A2F40"/>
          <w:sz w:val="17"/>
        </w:rPr>
        <w:tab/>
        <w:t>13</w:t>
      </w:r>
    </w:p>
    <w:p>
      <w:pPr>
        <w:spacing w:after="44" w:line="240" w:lineRule="auto"/>
        <w:tabs>
          <w:tab w:val="right" w:leader="dot" w:pos="9000"/>
        </w:tabs>
      </w:pPr>
      <w:r>
        <w:rPr>
          <w:rFonts w:ascii="Aptos" w:hAnsi="Aptos" w:eastAsia="Aptos" w:cs="Aptos"/>
          <w:b/>
          <w:color w:val="0A2F40"/>
          <w:sz w:val="17"/>
        </w:rPr>
        <w:t>11. Membership Is Not Delegated Authority</w:t>
      </w:r>
      <w:r>
        <w:rPr>
          <w:rFonts w:ascii="Aptos" w:hAnsi="Aptos" w:eastAsia="Aptos" w:cs="Aptos"/>
          <w:b/>
          <w:color w:val="0A2F40"/>
          <w:sz w:val="17"/>
        </w:rPr>
        <w:tab/>
        <w:t>13</w:t>
      </w:r>
    </w:p>
    <w:p>
      <w:pPr>
        <w:spacing w:after="44" w:line="240" w:lineRule="auto"/>
        <w:tabs>
          <w:tab w:val="right" w:leader="dot" w:pos="9000"/>
        </w:tabs>
      </w:pPr>
      <w:r>
        <w:rPr>
          <w:rFonts w:ascii="Aptos" w:hAnsi="Aptos" w:eastAsia="Aptos" w:cs="Aptos"/>
          <w:b/>
          <w:color w:val="0A2F40"/>
          <w:sz w:val="17"/>
        </w:rPr>
        <w:t>12. Citation and Retrieval Do Not Create Authority</w:t>
      </w:r>
      <w:r>
        <w:rPr>
          <w:rFonts w:ascii="Aptos" w:hAnsi="Aptos" w:eastAsia="Aptos" w:cs="Aptos"/>
          <w:b/>
          <w:color w:val="0A2F40"/>
          <w:sz w:val="17"/>
        </w:rPr>
        <w:tab/>
        <w:t>14</w:t>
      </w:r>
    </w:p>
    <w:p>
      <w:pPr>
        <w:spacing w:after="44" w:line="240" w:lineRule="auto"/>
        <w:tabs>
          <w:tab w:val="right" w:leader="dot" w:pos="9000"/>
        </w:tabs>
      </w:pPr>
      <w:r>
        <w:rPr>
          <w:rFonts w:ascii="Aptos" w:hAnsi="Aptos" w:eastAsia="Aptos" w:cs="Aptos"/>
          <w:b/>
          <w:color w:val="0A2F40"/>
          <w:sz w:val="17"/>
        </w:rPr>
        <w:t>13. Authority Leakage</w:t>
      </w:r>
      <w:r>
        <w:rPr>
          <w:rFonts w:ascii="Aptos" w:hAnsi="Aptos" w:eastAsia="Aptos" w:cs="Aptos"/>
          <w:b/>
          <w:color w:val="0A2F40"/>
          <w:sz w:val="17"/>
        </w:rPr>
        <w:tab/>
        <w:t>14</w:t>
      </w:r>
    </w:p>
    <w:p>
      <w:pPr>
        <w:spacing w:after="44" w:line="240" w:lineRule="auto"/>
        <w:tabs>
          <w:tab w:val="right" w:leader="dot" w:pos="9000"/>
        </w:tabs>
      </w:pPr>
      <w:r>
        <w:rPr>
          <w:rFonts w:ascii="Aptos" w:hAnsi="Aptos" w:eastAsia="Aptos" w:cs="Aptos"/>
          <w:b/>
          <w:color w:val="0A2F40"/>
          <w:sz w:val="17"/>
        </w:rPr>
        <w:t>14. Authority Inflation</w:t>
      </w:r>
      <w:r>
        <w:rPr>
          <w:rFonts w:ascii="Aptos" w:hAnsi="Aptos" w:eastAsia="Aptos" w:cs="Aptos"/>
          <w:b/>
          <w:color w:val="0A2F40"/>
          <w:sz w:val="17"/>
        </w:rPr>
        <w:tab/>
        <w:t>15</w:t>
      </w:r>
    </w:p>
    <w:p>
      <w:pPr>
        <w:spacing w:after="44" w:line="240" w:lineRule="auto"/>
        <w:tabs>
          <w:tab w:val="right" w:leader="dot" w:pos="9000"/>
        </w:tabs>
      </w:pPr>
      <w:r>
        <w:rPr>
          <w:rFonts w:ascii="Aptos" w:hAnsi="Aptos" w:eastAsia="Aptos" w:cs="Aptos"/>
          <w:b/>
          <w:color w:val="0A2F40"/>
          <w:sz w:val="17"/>
        </w:rPr>
        <w:t>15. Inference Guard</w:t>
      </w:r>
      <w:r>
        <w:rPr>
          <w:rFonts w:ascii="Aptos" w:hAnsi="Aptos" w:eastAsia="Aptos" w:cs="Aptos"/>
          <w:b/>
          <w:color w:val="0A2F40"/>
          <w:sz w:val="17"/>
        </w:rPr>
        <w:tab/>
        <w:t>15</w:t>
      </w:r>
    </w:p>
    <w:p>
      <w:pPr>
        <w:spacing w:after="44" w:line="240" w:lineRule="auto"/>
        <w:tabs>
          <w:tab w:val="right" w:leader="dot" w:pos="9000"/>
        </w:tabs>
      </w:pPr>
      <w:r>
        <w:rPr>
          <w:rFonts w:ascii="Aptos" w:hAnsi="Aptos" w:eastAsia="Aptos" w:cs="Aptos"/>
          <w:b/>
          <w:color w:val="0A2F40"/>
          <w:sz w:val="17"/>
        </w:rPr>
        <w:t>16. Negative Metadata</w:t>
      </w:r>
      <w:r>
        <w:rPr>
          <w:rFonts w:ascii="Aptos" w:hAnsi="Aptos" w:eastAsia="Aptos" w:cs="Aptos"/>
          <w:b/>
          <w:color w:val="0A2F40"/>
          <w:sz w:val="17"/>
        </w:rPr>
        <w:tab/>
        <w:t>16</w:t>
      </w:r>
    </w:p>
    <w:p>
      <w:pPr>
        <w:spacing w:after="44" w:line="240" w:lineRule="auto"/>
        <w:tabs>
          <w:tab w:val="right" w:leader="dot" w:pos="9000"/>
        </w:tabs>
      </w:pPr>
      <w:r>
        <w:rPr>
          <w:rFonts w:ascii="Aptos" w:hAnsi="Aptos" w:eastAsia="Aptos" w:cs="Aptos"/>
          <w:b/>
          <w:color w:val="0A2F40"/>
          <w:sz w:val="17"/>
        </w:rPr>
        <w:t>17. Public Knowledge Object Boundary</w:t>
      </w:r>
      <w:r>
        <w:rPr>
          <w:rFonts w:ascii="Aptos" w:hAnsi="Aptos" w:eastAsia="Aptos" w:cs="Aptos"/>
          <w:b/>
          <w:color w:val="0A2F40"/>
          <w:sz w:val="17"/>
        </w:rPr>
        <w:tab/>
        <w:t>16</w:t>
      </w:r>
    </w:p>
    <w:p>
      <w:pPr>
        <w:spacing w:after="44" w:line="240" w:lineRule="auto"/>
        <w:tabs>
          <w:tab w:val="right" w:leader="dot" w:pos="9000"/>
        </w:tabs>
      </w:pPr>
      <w:r>
        <w:rPr>
          <w:rFonts w:ascii="Aptos" w:hAnsi="Aptos" w:eastAsia="Aptos" w:cs="Aptos"/>
          <w:b/>
          <w:color w:val="0A2F40"/>
          <w:sz w:val="17"/>
        </w:rPr>
        <w:t>18. Corporate Evidence Graph Boundary</w:t>
      </w:r>
      <w:r>
        <w:rPr>
          <w:rFonts w:ascii="Aptos" w:hAnsi="Aptos" w:eastAsia="Aptos" w:cs="Aptos"/>
          <w:b/>
          <w:color w:val="0A2F40"/>
          <w:sz w:val="17"/>
        </w:rPr>
        <w:tab/>
        <w:t>17</w:t>
      </w:r>
    </w:p>
    <w:p>
      <w:pPr>
        <w:spacing w:after="44" w:line="240" w:lineRule="auto"/>
        <w:tabs>
          <w:tab w:val="right" w:leader="dot" w:pos="9000"/>
        </w:tabs>
      </w:pPr>
      <w:r>
        <w:rPr>
          <w:rFonts w:ascii="Aptos" w:hAnsi="Aptos" w:eastAsia="Aptos" w:cs="Aptos"/>
          <w:b/>
          <w:color w:val="0A2F40"/>
          <w:sz w:val="17"/>
        </w:rPr>
        <w:t>19. Minimum Requirements for Evidence-Aware AI Agents</w:t>
      </w:r>
      <w:r>
        <w:rPr>
          <w:rFonts w:ascii="Aptos" w:hAnsi="Aptos" w:eastAsia="Aptos" w:cs="Aptos"/>
          <w:b/>
          <w:color w:val="0A2F40"/>
          <w:sz w:val="17"/>
        </w:rPr>
        <w:tab/>
        <w:t>17</w:t>
      </w:r>
    </w:p>
    <w:p>
      <w:r>
        <w:br w:type="page"/>
      </w:r>
    </w:p>
    <w:p>
      <w:pPr>
        <w:pStyle w:val="Heading1"/>
      </w:pPr>
      <w:r>
        <w:t>Contents Continued</w:t>
      </w:r>
    </w:p>
    <w:p>
      <w:pPr>
        <w:spacing w:after="44" w:line="240" w:lineRule="auto"/>
        <w:tabs>
          <w:tab w:val="right" w:leader="dot" w:pos="9000"/>
        </w:tabs>
      </w:pPr>
      <w:r>
        <w:rPr>
          <w:rFonts w:ascii="Aptos" w:hAnsi="Aptos" w:eastAsia="Aptos" w:cs="Aptos"/>
          <w:b/>
          <w:color w:val="0A2F40"/>
          <w:sz w:val="17"/>
        </w:rPr>
        <w:t>20. Prohibited Machine Inferences</w:t>
      </w:r>
      <w:r>
        <w:rPr>
          <w:rFonts w:ascii="Aptos" w:hAnsi="Aptos" w:eastAsia="Aptos" w:cs="Aptos"/>
          <w:b/>
          <w:color w:val="0A2F40"/>
          <w:sz w:val="17"/>
        </w:rPr>
        <w:tab/>
        <w:t>18</w:t>
      </w:r>
    </w:p>
    <w:p>
      <w:pPr>
        <w:spacing w:after="44" w:line="240" w:lineRule="auto"/>
        <w:tabs>
          <w:tab w:val="right" w:leader="dot" w:pos="9000"/>
        </w:tabs>
      </w:pPr>
      <w:r>
        <w:rPr>
          <w:rFonts w:ascii="Aptos" w:hAnsi="Aptos" w:eastAsia="Aptos" w:cs="Aptos"/>
          <w:b/>
          <w:color w:val="0A2F40"/>
          <w:sz w:val="17"/>
        </w:rPr>
        <w:t>21. Permitted Machine Inference</w:t>
      </w:r>
      <w:r>
        <w:rPr>
          <w:rFonts w:ascii="Aptos" w:hAnsi="Aptos" w:eastAsia="Aptos" w:cs="Aptos"/>
          <w:b/>
          <w:color w:val="0A2F40"/>
          <w:sz w:val="17"/>
        </w:rPr>
        <w:tab/>
        <w:t>18</w:t>
      </w:r>
    </w:p>
    <w:p>
      <w:pPr>
        <w:spacing w:after="44" w:line="240" w:lineRule="auto"/>
        <w:tabs>
          <w:tab w:val="right" w:leader="dot" w:pos="9000"/>
        </w:tabs>
      </w:pPr>
      <w:r>
        <w:rPr>
          <w:rFonts w:ascii="Aptos" w:hAnsi="Aptos" w:eastAsia="Aptos" w:cs="Aptos"/>
          <w:b/>
          <w:color w:val="0A2F40"/>
          <w:sz w:val="17"/>
        </w:rPr>
        <w:t>22. Source Fact and Machine Inference Must Remain Distinct</w:t>
      </w:r>
      <w:r>
        <w:rPr>
          <w:rFonts w:ascii="Aptos" w:hAnsi="Aptos" w:eastAsia="Aptos" w:cs="Aptos"/>
          <w:b/>
          <w:color w:val="0A2F40"/>
          <w:sz w:val="17"/>
        </w:rPr>
        <w:tab/>
        <w:t>19</w:t>
      </w:r>
    </w:p>
    <w:p>
      <w:pPr>
        <w:spacing w:after="44" w:line="240" w:lineRule="auto"/>
        <w:tabs>
          <w:tab w:val="right" w:leader="dot" w:pos="9000"/>
        </w:tabs>
      </w:pPr>
      <w:r>
        <w:rPr>
          <w:rFonts w:ascii="Aptos" w:hAnsi="Aptos" w:eastAsia="Aptos" w:cs="Aptos"/>
          <w:b/>
          <w:color w:val="0A2F40"/>
          <w:sz w:val="17"/>
        </w:rPr>
        <w:t>23. Correction Propagation</w:t>
      </w:r>
      <w:r>
        <w:rPr>
          <w:rFonts w:ascii="Aptos" w:hAnsi="Aptos" w:eastAsia="Aptos" w:cs="Aptos"/>
          <w:b/>
          <w:color w:val="0A2F40"/>
          <w:sz w:val="17"/>
        </w:rPr>
        <w:tab/>
        <w:t>19</w:t>
      </w:r>
    </w:p>
    <w:p>
      <w:pPr>
        <w:spacing w:after="44" w:line="240" w:lineRule="auto"/>
        <w:tabs>
          <w:tab w:val="right" w:leader="dot" w:pos="9000"/>
        </w:tabs>
      </w:pPr>
      <w:r>
        <w:rPr>
          <w:rFonts w:ascii="Aptos" w:hAnsi="Aptos" w:eastAsia="Aptos" w:cs="Aptos"/>
          <w:b/>
          <w:color w:val="0A2F40"/>
          <w:sz w:val="17"/>
        </w:rPr>
        <w:t>24. Repetition Does Not Create Authority</w:t>
      </w:r>
      <w:r>
        <w:rPr>
          <w:rFonts w:ascii="Aptos" w:hAnsi="Aptos" w:eastAsia="Aptos" w:cs="Aptos"/>
          <w:b/>
          <w:color w:val="0A2F40"/>
          <w:sz w:val="17"/>
        </w:rPr>
        <w:tab/>
        <w:t>20</w:t>
      </w:r>
    </w:p>
    <w:p>
      <w:pPr>
        <w:spacing w:after="44" w:line="240" w:lineRule="auto"/>
        <w:tabs>
          <w:tab w:val="right" w:leader="dot" w:pos="9000"/>
        </w:tabs>
      </w:pPr>
      <w:r>
        <w:rPr>
          <w:rFonts w:ascii="Aptos" w:hAnsi="Aptos" w:eastAsia="Aptos" w:cs="Aptos"/>
          <w:b/>
          <w:color w:val="0A2F40"/>
          <w:sz w:val="17"/>
        </w:rPr>
        <w:t>25. Graph Centrality Does Not Create Authority</w:t>
      </w:r>
      <w:r>
        <w:rPr>
          <w:rFonts w:ascii="Aptos" w:hAnsi="Aptos" w:eastAsia="Aptos" w:cs="Aptos"/>
          <w:b/>
          <w:color w:val="0A2F40"/>
          <w:sz w:val="17"/>
        </w:rPr>
        <w:tab/>
        <w:t>20</w:t>
      </w:r>
    </w:p>
    <w:p>
      <w:pPr>
        <w:spacing w:after="44" w:line="240" w:lineRule="auto"/>
        <w:tabs>
          <w:tab w:val="right" w:leader="dot" w:pos="9000"/>
        </w:tabs>
      </w:pPr>
      <w:r>
        <w:rPr>
          <w:rFonts w:ascii="Aptos" w:hAnsi="Aptos" w:eastAsia="Aptos" w:cs="Aptos"/>
          <w:b/>
          <w:color w:val="0A2F40"/>
          <w:sz w:val="17"/>
        </w:rPr>
        <w:t>26. Machine Confidence Does Not Create Authority</w:t>
      </w:r>
      <w:r>
        <w:rPr>
          <w:rFonts w:ascii="Aptos" w:hAnsi="Aptos" w:eastAsia="Aptos" w:cs="Aptos"/>
          <w:b/>
          <w:color w:val="0A2F40"/>
          <w:sz w:val="17"/>
        </w:rPr>
        <w:tab/>
        <w:t>20</w:t>
      </w:r>
    </w:p>
    <w:p>
      <w:pPr>
        <w:spacing w:after="44" w:line="240" w:lineRule="auto"/>
        <w:tabs>
          <w:tab w:val="right" w:leader="dot" w:pos="9000"/>
        </w:tabs>
      </w:pPr>
      <w:r>
        <w:rPr>
          <w:rFonts w:ascii="Aptos" w:hAnsi="Aptos" w:eastAsia="Aptos" w:cs="Aptos"/>
          <w:b/>
          <w:color w:val="0A2F40"/>
          <w:sz w:val="17"/>
        </w:rPr>
        <w:t>27. Policy Implication</w:t>
      </w:r>
      <w:r>
        <w:rPr>
          <w:rFonts w:ascii="Aptos" w:hAnsi="Aptos" w:eastAsia="Aptos" w:cs="Aptos"/>
          <w:b/>
          <w:color w:val="0A2F40"/>
          <w:sz w:val="17"/>
        </w:rPr>
        <w:tab/>
        <w:t>21</w:t>
      </w:r>
    </w:p>
    <w:p>
      <w:pPr>
        <w:spacing w:after="44" w:line="240" w:lineRule="auto"/>
        <w:tabs>
          <w:tab w:val="right" w:leader="dot" w:pos="9000"/>
        </w:tabs>
      </w:pPr>
      <w:r>
        <w:rPr>
          <w:rFonts w:ascii="Aptos" w:hAnsi="Aptos" w:eastAsia="Aptos" w:cs="Aptos"/>
          <w:b/>
          <w:color w:val="0A2F40"/>
          <w:sz w:val="17"/>
        </w:rPr>
        <w:t>28. Implication for Standard Setters</w:t>
      </w:r>
      <w:r>
        <w:rPr>
          <w:rFonts w:ascii="Aptos" w:hAnsi="Aptos" w:eastAsia="Aptos" w:cs="Aptos"/>
          <w:b/>
          <w:color w:val="0A2F40"/>
          <w:sz w:val="17"/>
        </w:rPr>
        <w:tab/>
        <w:t>21</w:t>
      </w:r>
    </w:p>
    <w:p>
      <w:pPr>
        <w:spacing w:after="44" w:line="240" w:lineRule="auto"/>
        <w:tabs>
          <w:tab w:val="right" w:leader="dot" w:pos="9000"/>
        </w:tabs>
      </w:pPr>
      <w:r>
        <w:rPr>
          <w:rFonts w:ascii="Aptos" w:hAnsi="Aptos" w:eastAsia="Aptos" w:cs="Aptos"/>
          <w:b/>
          <w:color w:val="0A2F40"/>
          <w:sz w:val="17"/>
        </w:rPr>
        <w:t>29. Implication for Assurance Providers</w:t>
      </w:r>
      <w:r>
        <w:rPr>
          <w:rFonts w:ascii="Aptos" w:hAnsi="Aptos" w:eastAsia="Aptos" w:cs="Aptos"/>
          <w:b/>
          <w:color w:val="0A2F40"/>
          <w:sz w:val="17"/>
        </w:rPr>
        <w:tab/>
        <w:t>21</w:t>
      </w:r>
    </w:p>
    <w:p>
      <w:pPr>
        <w:spacing w:after="44" w:line="240" w:lineRule="auto"/>
        <w:tabs>
          <w:tab w:val="right" w:leader="dot" w:pos="9000"/>
        </w:tabs>
      </w:pPr>
      <w:r>
        <w:rPr>
          <w:rFonts w:ascii="Aptos" w:hAnsi="Aptos" w:eastAsia="Aptos" w:cs="Aptos"/>
          <w:b/>
          <w:color w:val="0A2F40"/>
          <w:sz w:val="17"/>
        </w:rPr>
        <w:t>30. Implication for Regulators</w:t>
      </w:r>
      <w:r>
        <w:rPr>
          <w:rFonts w:ascii="Aptos" w:hAnsi="Aptos" w:eastAsia="Aptos" w:cs="Aptos"/>
          <w:b/>
          <w:color w:val="0A2F40"/>
          <w:sz w:val="17"/>
        </w:rPr>
        <w:tab/>
        <w:t>22</w:t>
      </w:r>
    </w:p>
    <w:p>
      <w:pPr>
        <w:spacing w:after="44" w:line="240" w:lineRule="auto"/>
        <w:tabs>
          <w:tab w:val="right" w:leader="dot" w:pos="9000"/>
        </w:tabs>
      </w:pPr>
      <w:r>
        <w:rPr>
          <w:rFonts w:ascii="Aptos" w:hAnsi="Aptos" w:eastAsia="Aptos" w:cs="Aptos"/>
          <w:b/>
          <w:color w:val="0A2F40"/>
          <w:sz w:val="17"/>
        </w:rPr>
        <w:t>31. Canonical Rule Set</w:t>
      </w:r>
      <w:r>
        <w:rPr>
          <w:rFonts w:ascii="Aptos" w:hAnsi="Aptos" w:eastAsia="Aptos" w:cs="Aptos"/>
          <w:b/>
          <w:color w:val="0A2F40"/>
          <w:sz w:val="17"/>
        </w:rPr>
        <w:tab/>
        <w:t>22</w:t>
      </w:r>
    </w:p>
    <w:p>
      <w:pPr>
        <w:spacing w:after="44" w:line="240" w:lineRule="auto"/>
        <w:tabs>
          <w:tab w:val="right" w:leader="dot" w:pos="9000"/>
        </w:tabs>
      </w:pPr>
      <w:r>
        <w:rPr>
          <w:rFonts w:ascii="Aptos" w:hAnsi="Aptos" w:eastAsia="Aptos" w:cs="Aptos"/>
          <w:b/>
          <w:color w:val="0A2F40"/>
          <w:sz w:val="17"/>
        </w:rPr>
        <w:t>32. Governance Flow</w:t>
      </w:r>
      <w:r>
        <w:rPr>
          <w:rFonts w:ascii="Aptos" w:hAnsi="Aptos" w:eastAsia="Aptos" w:cs="Aptos"/>
          <w:b/>
          <w:color w:val="0A2F40"/>
          <w:sz w:val="17"/>
        </w:rPr>
        <w:tab/>
        <w:t>22</w:t>
      </w:r>
    </w:p>
    <w:p>
      <w:pPr>
        <w:spacing w:after="44" w:line="240" w:lineRule="auto"/>
        <w:tabs>
          <w:tab w:val="right" w:leader="dot" w:pos="9000"/>
        </w:tabs>
      </w:pPr>
      <w:r>
        <w:rPr>
          <w:rFonts w:ascii="Aptos" w:hAnsi="Aptos" w:eastAsia="Aptos" w:cs="Aptos"/>
          <w:b/>
          <w:color w:val="0A2F40"/>
          <w:sz w:val="17"/>
        </w:rPr>
        <w:t>33. Interoperability Without Authority Transfer</w:t>
      </w:r>
      <w:r>
        <w:rPr>
          <w:rFonts w:ascii="Aptos" w:hAnsi="Aptos" w:eastAsia="Aptos" w:cs="Aptos"/>
          <w:b/>
          <w:color w:val="0A2F40"/>
          <w:sz w:val="17"/>
        </w:rPr>
        <w:tab/>
        <w:t>23</w:t>
      </w:r>
    </w:p>
    <w:p>
      <w:pPr>
        <w:spacing w:after="44" w:line="240" w:lineRule="auto"/>
        <w:tabs>
          <w:tab w:val="right" w:leader="dot" w:pos="9000"/>
        </w:tabs>
      </w:pPr>
      <w:r>
        <w:rPr>
          <w:rFonts w:ascii="Aptos" w:hAnsi="Aptos" w:eastAsia="Aptos" w:cs="Aptos"/>
          <w:b/>
          <w:color w:val="0A2F40"/>
          <w:sz w:val="17"/>
        </w:rPr>
        <w:t>34. From Machine-Readable to Machine-Bounded</w:t>
      </w:r>
      <w:r>
        <w:rPr>
          <w:rFonts w:ascii="Aptos" w:hAnsi="Aptos" w:eastAsia="Aptos" w:cs="Aptos"/>
          <w:b/>
          <w:color w:val="0A2F40"/>
          <w:sz w:val="17"/>
        </w:rPr>
        <w:tab/>
        <w:t>23</w:t>
      </w:r>
    </w:p>
    <w:p>
      <w:pPr>
        <w:spacing w:after="44" w:line="240" w:lineRule="auto"/>
        <w:tabs>
          <w:tab w:val="right" w:leader="dot" w:pos="9000"/>
        </w:tabs>
      </w:pPr>
      <w:r>
        <w:rPr>
          <w:rFonts w:ascii="Aptos" w:hAnsi="Aptos" w:eastAsia="Aptos" w:cs="Aptos"/>
          <w:b/>
          <w:color w:val="0A2F40"/>
          <w:sz w:val="17"/>
        </w:rPr>
        <w:t>35. Canonical Doctrine</w:t>
      </w:r>
      <w:r>
        <w:rPr>
          <w:rFonts w:ascii="Aptos" w:hAnsi="Aptos" w:eastAsia="Aptos" w:cs="Aptos"/>
          <w:b/>
          <w:color w:val="0A2F40"/>
          <w:sz w:val="17"/>
        </w:rPr>
        <w:tab/>
        <w:t>24</w:t>
      </w:r>
    </w:p>
    <w:p>
      <w:pPr>
        <w:spacing w:after="44" w:line="240" w:lineRule="auto"/>
        <w:tabs>
          <w:tab w:val="right" w:leader="dot" w:pos="9000"/>
        </w:tabs>
      </w:pPr>
      <w:r>
        <w:rPr>
          <w:rFonts w:ascii="Aptos" w:hAnsi="Aptos" w:eastAsia="Aptos" w:cs="Aptos"/>
          <w:b/>
          <w:color w:val="0A2F40"/>
          <w:sz w:val="17"/>
        </w:rPr>
        <w:t>36. Self-Application of the Firewall</w:t>
      </w:r>
      <w:r>
        <w:rPr>
          <w:rFonts w:ascii="Aptos" w:hAnsi="Aptos" w:eastAsia="Aptos" w:cs="Aptos"/>
          <w:b/>
          <w:color w:val="0A2F40"/>
          <w:sz w:val="17"/>
        </w:rPr>
        <w:tab/>
        <w:t>24</w:t>
      </w:r>
    </w:p>
    <w:p>
      <w:pPr>
        <w:spacing w:after="44" w:line="240" w:lineRule="auto"/>
        <w:tabs>
          <w:tab w:val="right" w:leader="dot" w:pos="9000"/>
        </w:tabs>
      </w:pPr>
      <w:r>
        <w:rPr>
          <w:rFonts w:ascii="Aptos" w:hAnsi="Aptos" w:eastAsia="Aptos" w:cs="Aptos"/>
          <w:b/>
          <w:color w:val="0A2F40"/>
          <w:sz w:val="17"/>
        </w:rPr>
        <w:t>37. Canonical Relationship to Firewall-CD</w:t>
        <w:tab/>
        <w:t>26</w:t>
      </w:r>
      <w:r>
        <w:rPr>
          <w:rFonts w:ascii="Aptos" w:hAnsi="Aptos" w:eastAsia="Aptos" w:cs="Aptos"/>
          <w:b/>
          <w:color w:val="0A2F40"/>
          <w:sz w:val="17"/>
        </w:rPr>
      </w:r>
    </w:p>
    <w:p>
      <w:pPr>
        <w:spacing w:after="44" w:line="240" w:lineRule="auto"/>
        <w:tabs>
          <w:tab w:val="right" w:leader="dot" w:pos="9000"/>
        </w:tabs>
      </w:pPr>
      <w:r>
        <w:rPr>
          <w:rFonts w:ascii="Aptos" w:hAnsi="Aptos" w:eastAsia="Aptos" w:cs="Aptos"/>
          <w:b/>
          <w:color w:val="0A2F40"/>
          <w:sz w:val="17"/>
        </w:rPr>
        <w:t>38. Conclusion</w:t>
        <w:tab/>
        <w:t>26</w:t>
      </w:r>
      <w:r>
        <w:rPr>
          <w:rFonts w:ascii="Aptos" w:hAnsi="Aptos" w:eastAsia="Aptos" w:cs="Aptos"/>
          <w:b/>
          <w:color w:val="0A2F40"/>
          <w:sz w:val="17"/>
        </w:rPr>
      </w:r>
    </w:p>
    <w:p>
      <w:pPr>
        <w:spacing w:after="44" w:line="240" w:lineRule="auto"/>
        <w:tabs>
          <w:tab w:val="right" w:leader="dot" w:pos="9000"/>
        </w:tabs>
      </w:pPr>
      <w:r>
        <w:rPr>
          <w:rFonts w:ascii="Aptos" w:hAnsi="Aptos" w:eastAsia="Aptos" w:cs="Aptos"/>
          <w:b w:val="0"/>
          <w:color w:val="0A2F40"/>
          <w:sz w:val="17"/>
        </w:rPr>
        <w:t>Canonical Citation</w:t>
        <w:tab/>
        <w:t>27</w:t>
      </w:r>
      <w:r>
        <w:rPr>
          <w:rFonts w:ascii="Aptos" w:hAnsi="Aptos" w:eastAsia="Aptos" w:cs="Aptos"/>
          <w:b/>
          <w:color w:val="0A2F40"/>
          <w:sz w:val="17"/>
        </w:rPr>
      </w:r>
    </w:p>
    <w:p>
      <w:pPr>
        <w:spacing w:after="44" w:line="240" w:lineRule="auto"/>
        <w:tabs>
          <w:tab w:val="right" w:leader="dot" w:pos="9000"/>
        </w:tabs>
      </w:pPr>
      <w:r>
        <w:rPr>
          <w:rFonts w:ascii="Aptos" w:hAnsi="Aptos" w:eastAsia="Aptos" w:cs="Aptos"/>
          <w:b w:val="0"/>
          <w:color w:val="0A2F40"/>
          <w:sz w:val="17"/>
        </w:rPr>
        <w:t>Canonical Publication Metadata</w:t>
        <w:tab/>
        <w:t>27</w:t>
      </w:r>
      <w:r>
        <w:rPr>
          <w:rFonts w:ascii="Aptos" w:hAnsi="Aptos" w:eastAsia="Aptos" w:cs="Aptos"/>
          <w:b/>
          <w:color w:val="0A2F40"/>
          <w:sz w:val="17"/>
        </w:rPr>
      </w:r>
    </w:p>
    <w:p>
      <w:r>
        <w:br w:type="page"/>
      </w:r>
    </w:p>
    <w:p>
      <w:pPr>
        <w:pStyle w:val="Heading2"/>
        <w:keepNext/>
        <w:widowControl/>
      </w:pPr>
      <w:r>
        <w:rPr>
          <w:rFonts w:ascii="Aptos Display" w:hAnsi="Aptos Display" w:eastAsia="Aptos Display" w:cs="Aptos Display"/>
          <w:color w:val="0A2F40"/>
          <w:sz w:val="24"/>
        </w:rPr>
        <w:t>Abstract</w:t>
      </w:r>
    </w:p>
    <w:p>
      <w:r>
        <w:rPr>
          <w:rFonts w:ascii="Aptos" w:hAnsi="Aptos" w:eastAsia="Aptos" w:cs="Aptos"/>
          <w:color w:val="15191B"/>
          <w:sz w:val="21"/>
        </w:rPr>
        <w:t>As sustainability disclosure, digital regulation, knowledge graphs, machine-readable publishing, and AI agents become increasingly interconnected, institutional relationships are being represented and processed at machine scale.</w:t>
      </w:r>
    </w:p>
    <w:p>
      <w:r>
        <w:rPr>
          <w:rFonts w:ascii="Aptos" w:hAnsi="Aptos" w:eastAsia="Aptos" w:cs="Aptos"/>
          <w:color w:val="15191B"/>
          <w:sz w:val="21"/>
        </w:rPr>
        <w:t>Standards, licences, publications, identifiers, memberships, mappings, evidence objects, corporate records, and third-party sources can now be connected through structured metadata and knowledge graphs. Each individual relationship may be factually correct. However, when those relationships are aggregated by an AI agent, search engine, retrieval system, or automated knowledge graph, the system may infer a stronger institutional claim that does not actually exist.</w:t>
      </w:r>
    </w:p>
    <w:p>
      <w:r>
        <w:rPr>
          <w:rFonts w:ascii="Aptos" w:hAnsi="Aptos" w:eastAsia="Aptos" w:cs="Aptos"/>
          <w:color w:val="15191B"/>
          <w:sz w:val="21"/>
        </w:rPr>
        <w:t>A licence may be misread as endorsement. A DOI may be misread as peer review. A mapping may be misread as equivalence. Evidence may be misread as assurance. Membership may be misread as delegated authority. Search prominence or AI citation may be misread as regulatory recognition.</w:t>
      </w:r>
    </w:p>
    <w:p>
      <w:r>
        <w:rPr>
          <w:rFonts w:ascii="Aptos" w:hAnsi="Aptos" w:eastAsia="Aptos" w:cs="Aptos"/>
          <w:color w:val="15191B"/>
          <w:sz w:val="21"/>
        </w:rPr>
        <w:t xml:space="preserve">This paper introduces the principle of </w:t>
      </w:r>
      <w:r>
        <w:rPr>
          <w:rFonts w:ascii="Aptos" w:hAnsi="Aptos" w:eastAsia="Aptos" w:cs="Aptos"/>
          <w:b/>
          <w:color w:val="15191B"/>
          <w:sz w:val="21"/>
        </w:rPr>
        <w:t>Authority Non-Transitivity</w:t>
      </w:r>
      <w:r>
        <w:rPr>
          <w:rFonts w:ascii="Aptos" w:hAnsi="Aptos" w:eastAsia="Aptos" w:cs="Aptos"/>
          <w:color w:val="15191B"/>
          <w:sz w:val="21"/>
        </w:rPr>
        <w:t>:</w:t>
      </w:r>
    </w:p>
    <w:p>
      <w:pPr>
        <w:ind w:left="567" w:right="567"/>
        <w:jc w:val="center"/>
      </w:pPr>
      <w:r>
        <w:rPr>
          <w:rFonts w:ascii="Aptos Display" w:hAnsi="Aptos Display" w:eastAsia="Aptos Display" w:cs="Aptos Display"/>
          <w:b/>
          <w:color w:val="0A2F40"/>
          <w:sz w:val="24"/>
        </w:rPr>
        <w:t>Institutional authority does not automatically transfer through licensing, citation, mapping, membership, publication, registration, technical integration, machine-readable relationships, graph adjacency, retrieval, or citation.</w:t>
      </w:r>
    </w:p>
    <w:p>
      <w:r>
        <w:rPr>
          <w:rFonts w:ascii="Aptos" w:hAnsi="Aptos" w:eastAsia="Aptos" w:cs="Aptos"/>
          <w:color w:val="15191B"/>
          <w:sz w:val="21"/>
        </w:rPr>
        <w:t>It extends the institutional neutrality established by Firewall-CD into a machine-readable and AI-agent environment through a three-layer governance model:</w:t>
      </w:r>
    </w:p>
    <w:p>
      <w:pPr>
        <w:pStyle w:val="ListNumber"/>
      </w:pPr>
      <w:r>
        <w:rPr>
          <w:rFonts w:ascii="Aptos" w:hAnsi="Aptos" w:eastAsia="Aptos" w:cs="Aptos"/>
          <w:b/>
          <w:color w:val="15191B"/>
          <w:sz w:val="21"/>
        </w:rPr>
        <w:t>Institutional Sovereignty Firewall</w:t>
      </w:r>
    </w:p>
    <w:p>
      <w:pPr>
        <w:pStyle w:val="ListNumber"/>
      </w:pPr>
      <w:r>
        <w:rPr>
          <w:rFonts w:ascii="Aptos" w:hAnsi="Aptos" w:eastAsia="Aptos" w:cs="Aptos"/>
          <w:b/>
          <w:color w:val="15191B"/>
          <w:sz w:val="21"/>
        </w:rPr>
        <w:t>Interpretive Firewall</w:t>
      </w:r>
    </w:p>
    <w:p>
      <w:pPr>
        <w:pStyle w:val="ListNumber"/>
      </w:pPr>
      <w:r>
        <w:rPr>
          <w:rFonts w:ascii="Aptos" w:hAnsi="Aptos" w:eastAsia="Aptos" w:cs="Aptos"/>
          <w:b/>
          <w:color w:val="15191B"/>
          <w:sz w:val="21"/>
        </w:rPr>
        <w:t>Machine Interpretation Firewall</w:t>
      </w:r>
    </w:p>
    <w:p>
      <w:r>
        <w:rPr>
          <w:rFonts w:ascii="Aptos" w:hAnsi="Aptos" w:eastAsia="Aptos" w:cs="Aptos"/>
          <w:color w:val="15191B"/>
          <w:sz w:val="21"/>
        </w:rPr>
        <w:t>The paper further introduces typed authority relationships, authority scope, temporal authority, Negative Metadata, inference guards, prohibited machine inferences, and authority leakage controls.</w:t>
      </w:r>
    </w:p>
    <w:p>
      <w:r>
        <w:rPr>
          <w:rFonts w:ascii="Aptos" w:hAnsi="Aptos" w:eastAsia="Aptos" w:cs="Aptos"/>
          <w:color w:val="15191B"/>
          <w:sz w:val="21"/>
        </w:rPr>
        <w:t>Its central proposition is simple:</w:t>
      </w:r>
    </w:p>
    <w:p>
      <w:pPr>
        <w:ind w:left="567" w:right="567"/>
        <w:jc w:val="center"/>
      </w:pPr>
      <w:r>
        <w:rPr>
          <w:rFonts w:ascii="Aptos Display" w:hAnsi="Aptos Display" w:eastAsia="Aptos Display" w:cs="Aptos Display"/>
          <w:b/>
          <w:color w:val="0A2F40"/>
          <w:sz w:val="24"/>
        </w:rPr>
        <w:t>Authority is not a property that travels with data.</w:t>
      </w:r>
    </w:p>
    <w:p>
      <w:pPr>
        <w:pStyle w:val="Heading1"/>
        <w:keepNext/>
        <w:widowControl/>
      </w:pPr>
      <w:r>
        <w:rPr>
          <w:rFonts w:ascii="Aptos Display" w:hAnsi="Aptos Display" w:eastAsia="Aptos Display" w:cs="Aptos Display"/>
          <w:color w:val="FFFFFF"/>
          <w:sz w:val="34"/>
        </w:rPr>
        <w:t>00. Canonical Identity</w:t>
      </w:r>
    </w:p>
    <w:p>
      <w:r>
        <w:rPr>
          <w:rFonts w:ascii="Aptos" w:hAnsi="Aptos" w:eastAsia="Aptos" w:cs="Aptos"/>
          <w:color w:val="15191B"/>
          <w:sz w:val="21"/>
        </w:rPr>
        <w:t>This paper establishes a governance model for institutional authority in machine-readable evidence infrastructure.</w:t>
      </w:r>
    </w:p>
    <w:p>
      <w:r>
        <w:rPr>
          <w:rFonts w:ascii="Aptos" w:hAnsi="Aptos" w:eastAsia="Aptos" w:cs="Aptos"/>
          <w:color w:val="15191B"/>
          <w:sz w:val="21"/>
        </w:rPr>
        <w:t xml:space="preserve">It does </w:t>
      </w:r>
      <w:r>
        <w:rPr>
          <w:rFonts w:ascii="Aptos" w:hAnsi="Aptos" w:eastAsia="Aptos" w:cs="Aptos"/>
          <w:b/>
          <w:color w:val="15191B"/>
          <w:sz w:val="21"/>
        </w:rPr>
        <w:t>not</w:t>
      </w:r>
      <w:r>
        <w:rPr>
          <w:rFonts w:ascii="Aptos" w:hAnsi="Aptos" w:eastAsia="Aptos" w:cs="Aptos"/>
          <w:color w:val="15191B"/>
          <w:sz w:val="21"/>
        </w:rPr>
        <w:t>:</w:t>
      </w:r>
    </w:p>
    <w:p>
      <w:pPr>
        <w:pStyle w:val="ListBullet"/>
      </w:pPr>
      <w:r>
        <w:rPr>
          <w:rFonts w:ascii="Aptos" w:hAnsi="Aptos" w:eastAsia="Aptos" w:cs="Aptos"/>
          <w:color w:val="15191B"/>
          <w:sz w:val="21"/>
        </w:rPr>
        <w:t>replace Firewall-CD;</w:t>
      </w:r>
    </w:p>
    <w:p>
      <w:pPr>
        <w:pStyle w:val="ListBullet"/>
      </w:pPr>
      <w:r>
        <w:rPr>
          <w:rFonts w:ascii="Aptos" w:hAnsi="Aptos" w:eastAsia="Aptos" w:cs="Aptos"/>
          <w:color w:val="15191B"/>
          <w:sz w:val="21"/>
        </w:rPr>
        <w:t>modify Firewall-CD;</w:t>
      </w:r>
    </w:p>
    <w:p>
      <w:pPr>
        <w:pStyle w:val="ListBullet"/>
      </w:pPr>
      <w:r>
        <w:rPr>
          <w:rFonts w:ascii="Aptos" w:hAnsi="Aptos" w:eastAsia="Aptos" w:cs="Aptos"/>
          <w:color w:val="15191B"/>
          <w:sz w:val="21"/>
        </w:rPr>
        <w:t>supersede Firewall-CD;</w:t>
      </w:r>
    </w:p>
    <w:p>
      <w:pPr>
        <w:pStyle w:val="ListBullet"/>
      </w:pPr>
      <w:r>
        <w:rPr>
          <w:rFonts w:ascii="Aptos" w:hAnsi="Aptos" w:eastAsia="Aptos" w:cs="Aptos"/>
          <w:color w:val="15191B"/>
          <w:sz w:val="21"/>
        </w:rPr>
        <w:t>establish a regulatory standard;</w:t>
      </w:r>
    </w:p>
    <w:p>
      <w:pPr>
        <w:pStyle w:val="ListBullet"/>
      </w:pPr>
      <w:r>
        <w:rPr>
          <w:rFonts w:ascii="Aptos" w:hAnsi="Aptos" w:eastAsia="Aptos" w:cs="Aptos"/>
          <w:color w:val="15191B"/>
          <w:sz w:val="21"/>
        </w:rPr>
        <w:t>establish an official technical standard;</w:t>
      </w:r>
    </w:p>
    <w:p>
      <w:pPr>
        <w:pStyle w:val="ListBullet"/>
      </w:pPr>
      <w:r>
        <w:rPr>
          <w:rFonts w:ascii="Aptos" w:hAnsi="Aptos" w:eastAsia="Aptos" w:cs="Aptos"/>
          <w:color w:val="15191B"/>
          <w:sz w:val="21"/>
        </w:rPr>
        <w:t>represent the interpretation of any referenced standard-setting body;</w:t>
      </w:r>
    </w:p>
    <w:p>
      <w:pPr>
        <w:pStyle w:val="ListBullet"/>
      </w:pPr>
      <w:r>
        <w:rPr>
          <w:rFonts w:ascii="Aptos" w:hAnsi="Aptos" w:eastAsia="Aptos" w:cs="Aptos"/>
          <w:color w:val="15191B"/>
          <w:sz w:val="21"/>
        </w:rPr>
        <w:t>constitute legal advice;</w:t>
      </w:r>
    </w:p>
    <w:p>
      <w:pPr>
        <w:pStyle w:val="ListBullet"/>
      </w:pPr>
      <w:r>
        <w:rPr>
          <w:rFonts w:ascii="Aptos" w:hAnsi="Aptos" w:eastAsia="Aptos" w:cs="Aptos"/>
          <w:color w:val="15191B"/>
          <w:sz w:val="21"/>
        </w:rPr>
        <w:t>constitute an assurance framework;</w:t>
      </w:r>
    </w:p>
    <w:p>
      <w:pPr>
        <w:pStyle w:val="ListBullet"/>
      </w:pPr>
      <w:r>
        <w:rPr>
          <w:rFonts w:ascii="Aptos" w:hAnsi="Aptos" w:eastAsia="Aptos" w:cs="Aptos"/>
          <w:color w:val="15191B"/>
          <w:sz w:val="21"/>
        </w:rPr>
        <w:t>constitute a certification scheme; or</w:t>
      </w:r>
    </w:p>
    <w:p>
      <w:pPr>
        <w:pStyle w:val="ListBullet"/>
      </w:pPr>
      <w:r>
        <w:rPr>
          <w:rFonts w:ascii="Aptos" w:hAnsi="Aptos" w:eastAsia="Aptos" w:cs="Aptos"/>
          <w:color w:val="15191B"/>
          <w:sz w:val="21"/>
        </w:rPr>
        <w:t>claim that any AI, search, regulatory, assurance, or standards system has adopted the principles in this paper.</w:t>
      </w:r>
    </w:p>
    <w:p>
      <w:r>
        <w:rPr>
          <w:rFonts w:ascii="Aptos" w:hAnsi="Aptos" w:eastAsia="Aptos" w:cs="Aptos"/>
          <w:color w:val="15191B"/>
          <w:sz w:val="21"/>
        </w:rPr>
        <w:t>Its function is limited to establishing an explicit:</w:t>
      </w:r>
    </w:p>
    <w:p>
      <w:pPr>
        <w:pStyle w:val="Heading1"/>
        <w:keepNext/>
        <w:widowControl/>
      </w:pPr>
      <w:r>
        <w:rPr>
          <w:rFonts w:ascii="Aptos Display" w:hAnsi="Aptos Display" w:eastAsia="Aptos Display" w:cs="Aptos Display"/>
          <w:color w:val="FFFFFF"/>
          <w:sz w:val="34"/>
        </w:rPr>
        <w:t>Authority Boundary</w:t>
      </w:r>
    </w:p>
    <w:p>
      <w:r>
        <w:rPr>
          <w:rFonts w:ascii="Aptos" w:hAnsi="Aptos" w:eastAsia="Aptos" w:cs="Aptos"/>
          <w:color w:val="15191B"/>
          <w:sz w:val="21"/>
        </w:rPr>
        <w:t>for machine-readable institutional relationships.</w:t>
      </w:r>
    </w:p>
    <w:p>
      <w:pPr>
        <w:pStyle w:val="Heading1"/>
        <w:keepNext/>
        <w:widowControl/>
      </w:pPr>
      <w:r>
        <w:rPr>
          <w:rFonts w:ascii="Aptos Display" w:hAnsi="Aptos Display" w:eastAsia="Aptos Display" w:cs="Aptos Display"/>
          <w:color w:val="FFFFFF"/>
          <w:sz w:val="34"/>
        </w:rPr>
        <w:t>01. What Problem Does This Paper Solve?</w:t>
      </w:r>
    </w:p>
    <w:p>
      <w:r>
        <w:rPr>
          <w:rFonts w:ascii="Aptos" w:hAnsi="Aptos" w:eastAsia="Aptos" w:cs="Aptos"/>
          <w:color w:val="15191B"/>
          <w:sz w:val="21"/>
        </w:rPr>
        <w:t>Machine-readable institutional systems increasingly connect:</w:t>
      </w:r>
    </w:p>
    <w:p>
      <w:pPr>
        <w:pStyle w:val="ListBullet"/>
      </w:pPr>
      <w:r>
        <w:rPr>
          <w:rFonts w:ascii="Aptos" w:hAnsi="Aptos" w:eastAsia="Aptos" w:cs="Aptos"/>
          <w:color w:val="15191B"/>
          <w:sz w:val="21"/>
        </w:rPr>
        <w:t>standards;</w:t>
      </w:r>
    </w:p>
    <w:p>
      <w:pPr>
        <w:pStyle w:val="ListBullet"/>
      </w:pPr>
      <w:r>
        <w:rPr>
          <w:rFonts w:ascii="Aptos" w:hAnsi="Aptos" w:eastAsia="Aptos" w:cs="Aptos"/>
          <w:color w:val="15191B"/>
          <w:sz w:val="21"/>
        </w:rPr>
        <w:t>regulations;</w:t>
      </w:r>
    </w:p>
    <w:p>
      <w:pPr>
        <w:pStyle w:val="ListBullet"/>
      </w:pPr>
      <w:r>
        <w:rPr>
          <w:rFonts w:ascii="Aptos" w:hAnsi="Aptos" w:eastAsia="Aptos" w:cs="Aptos"/>
          <w:color w:val="15191B"/>
          <w:sz w:val="21"/>
        </w:rPr>
        <w:t>licences;</w:t>
      </w:r>
    </w:p>
    <w:p>
      <w:pPr>
        <w:pStyle w:val="ListBullet"/>
      </w:pPr>
      <w:r>
        <w:rPr>
          <w:rFonts w:ascii="Aptos" w:hAnsi="Aptos" w:eastAsia="Aptos" w:cs="Aptos"/>
          <w:color w:val="15191B"/>
          <w:sz w:val="21"/>
        </w:rPr>
        <w:t>publications;</w:t>
      </w:r>
    </w:p>
    <w:p>
      <w:pPr>
        <w:pStyle w:val="ListBullet"/>
      </w:pPr>
      <w:r>
        <w:rPr>
          <w:rFonts w:ascii="Aptos" w:hAnsi="Aptos" w:eastAsia="Aptos" w:cs="Aptos"/>
          <w:color w:val="15191B"/>
          <w:sz w:val="21"/>
        </w:rPr>
        <w:t>persistent identifiers;</w:t>
      </w:r>
    </w:p>
    <w:p>
      <w:pPr>
        <w:pStyle w:val="ListBullet"/>
      </w:pPr>
      <w:r>
        <w:rPr>
          <w:rFonts w:ascii="Aptos" w:hAnsi="Aptos" w:eastAsia="Aptos" w:cs="Aptos"/>
          <w:color w:val="15191B"/>
          <w:sz w:val="21"/>
        </w:rPr>
        <w:t>membership relationships;</w:t>
      </w:r>
    </w:p>
    <w:p>
      <w:pPr>
        <w:pStyle w:val="ListBullet"/>
      </w:pPr>
      <w:r>
        <w:rPr>
          <w:rFonts w:ascii="Aptos" w:hAnsi="Aptos" w:eastAsia="Aptos" w:cs="Aptos"/>
          <w:color w:val="15191B"/>
          <w:sz w:val="21"/>
        </w:rPr>
        <w:t>mapping guides;</w:t>
      </w:r>
    </w:p>
    <w:p>
      <w:pPr>
        <w:pStyle w:val="ListBullet"/>
      </w:pPr>
      <w:r>
        <w:rPr>
          <w:rFonts w:ascii="Aptos" w:hAnsi="Aptos" w:eastAsia="Aptos" w:cs="Aptos"/>
          <w:color w:val="15191B"/>
          <w:sz w:val="21"/>
        </w:rPr>
        <w:t>evidence objects;</w:t>
      </w:r>
    </w:p>
    <w:p>
      <w:pPr>
        <w:pStyle w:val="ListBullet"/>
      </w:pPr>
      <w:r>
        <w:rPr>
          <w:rFonts w:ascii="Aptos" w:hAnsi="Aptos" w:eastAsia="Aptos" w:cs="Aptos"/>
          <w:color w:val="15191B"/>
          <w:sz w:val="21"/>
        </w:rPr>
        <w:t>corporate records;</w:t>
      </w:r>
    </w:p>
    <w:p>
      <w:pPr>
        <w:pStyle w:val="ListBullet"/>
      </w:pPr>
      <w:r>
        <w:rPr>
          <w:rFonts w:ascii="Aptos" w:hAnsi="Aptos" w:eastAsia="Aptos" w:cs="Aptos"/>
          <w:color w:val="15191B"/>
          <w:sz w:val="21"/>
        </w:rPr>
        <w:t>knowledge graphs;</w:t>
      </w:r>
    </w:p>
    <w:p>
      <w:pPr>
        <w:pStyle w:val="ListBullet"/>
      </w:pPr>
      <w:r>
        <w:rPr>
          <w:rFonts w:ascii="Aptos" w:hAnsi="Aptos" w:eastAsia="Aptos" w:cs="Aptos"/>
          <w:color w:val="15191B"/>
          <w:sz w:val="21"/>
        </w:rPr>
        <w:t>retrieval systems; and</w:t>
      </w:r>
    </w:p>
    <w:p>
      <w:pPr>
        <w:pStyle w:val="ListBullet"/>
      </w:pPr>
      <w:r>
        <w:rPr>
          <w:rFonts w:ascii="Aptos" w:hAnsi="Aptos" w:eastAsia="Aptos" w:cs="Aptos"/>
          <w:color w:val="15191B"/>
          <w:sz w:val="21"/>
        </w:rPr>
        <w:t>AI agents.</w:t>
      </w:r>
    </w:p>
    <w:p>
      <w:r>
        <w:rPr>
          <w:rFonts w:ascii="Aptos" w:hAnsi="Aptos" w:eastAsia="Aptos" w:cs="Aptos"/>
          <w:color w:val="15191B"/>
          <w:sz w:val="21"/>
        </w:rPr>
        <w:t>Each individual relationship may be accurate.</w:t>
      </w:r>
    </w:p>
    <w:p>
      <w:r>
        <w:rPr>
          <w:rFonts w:ascii="Aptos" w:hAnsi="Aptos" w:eastAsia="Aptos" w:cs="Aptos"/>
          <w:color w:val="15191B"/>
          <w:sz w:val="21"/>
        </w:rPr>
        <w:t>The governance risk emerges when those relationships are combined.</w:t>
      </w:r>
    </w:p>
    <w:p>
      <w:r>
        <w:rPr>
          <w:rFonts w:ascii="Aptos" w:hAnsi="Aptos" w:eastAsia="Aptos" w:cs="Aptos"/>
          <w:color w:val="15191B"/>
          <w:sz w:val="21"/>
        </w:rPr>
        <w:t>For example:</w:t>
      </w:r>
    </w:p>
    <w:p>
      <w:pPr>
        <w:pStyle w:val="CodeBlock"/>
      </w:pPr>
      <w:r>
        <w:t>Institution A</w:t>
        <w:br/>
        <w:t xml:space="preserve">    licenses</w:t>
        <w:br/>
        <w:t>Institution B</w:t>
        <w:br/>
        <w:br/>
        <w:t>Institution B</w:t>
        <w:br/>
        <w:t xml:space="preserve">    publishes</w:t>
        <w:br/>
        <w:t>Document C</w:t>
      </w:r>
    </w:p>
    <w:p>
      <w:r>
        <w:rPr>
          <w:rFonts w:ascii="Aptos" w:hAnsi="Aptos" w:eastAsia="Aptos" w:cs="Aptos"/>
          <w:color w:val="15191B"/>
          <w:sz w:val="21"/>
        </w:rPr>
        <w:t>A machine must not infer:</w:t>
      </w:r>
    </w:p>
    <w:p>
      <w:pPr>
        <w:pStyle w:val="CodeBlock"/>
      </w:pPr>
      <w:r>
        <w:t>Institution A</w:t>
        <w:br/>
        <w:t xml:space="preserve">    endorses</w:t>
        <w:br/>
        <w:t>Document C</w:t>
      </w:r>
    </w:p>
    <w:p>
      <w:r>
        <w:rPr>
          <w:rFonts w:ascii="Aptos" w:hAnsi="Aptos" w:eastAsia="Aptos" w:cs="Aptos"/>
          <w:color w:val="15191B"/>
          <w:sz w:val="21"/>
        </w:rPr>
        <w:t>because:</w:t>
      </w:r>
    </w:p>
    <w:p>
      <w:pPr>
        <w:ind w:left="567" w:right="567"/>
        <w:jc w:val="center"/>
      </w:pPr>
      <w:r>
        <w:rPr>
          <w:rFonts w:ascii="Aptos Display" w:hAnsi="Aptos Display" w:eastAsia="Aptos Display" w:cs="Aptos Display"/>
          <w:b/>
          <w:color w:val="0A2F40"/>
          <w:sz w:val="24"/>
        </w:rPr>
        <w:t>Licensing does not imply endorsement.</w:t>
      </w:r>
    </w:p>
    <w:p>
      <w:r>
        <w:rPr>
          <w:rFonts w:ascii="Aptos" w:hAnsi="Aptos" w:eastAsia="Aptos" w:cs="Aptos"/>
          <w:color w:val="15191B"/>
          <w:sz w:val="21"/>
        </w:rPr>
        <w:t>This class of error is defined in this paper as:</w:t>
      </w:r>
    </w:p>
    <w:p>
      <w:pPr>
        <w:pStyle w:val="Heading1"/>
        <w:keepNext/>
        <w:widowControl/>
      </w:pPr>
      <w:r>
        <w:rPr>
          <w:rFonts w:ascii="Aptos Display" w:hAnsi="Aptos Display" w:eastAsia="Aptos Display" w:cs="Aptos Display"/>
          <w:color w:val="FFFFFF"/>
          <w:sz w:val="34"/>
        </w:rPr>
        <w:t>Authority Leakage</w:t>
      </w:r>
    </w:p>
    <w:p>
      <w:r>
        <w:rPr>
          <w:rFonts w:ascii="Aptos" w:hAnsi="Aptos" w:eastAsia="Aptos" w:cs="Aptos"/>
          <w:color w:val="15191B"/>
          <w:sz w:val="21"/>
        </w:rPr>
        <w:t>Authority Leakage occurs when a limited and accurate institutional relationship is transformed into a stronger authority claim that was never granted.</w:t>
      </w:r>
    </w:p>
    <w:p>
      <w:pPr>
        <w:pStyle w:val="Heading1"/>
        <w:keepNext/>
        <w:widowControl/>
      </w:pPr>
      <w:r>
        <w:rPr>
          <w:rFonts w:ascii="Aptos Display" w:hAnsi="Aptos Display" w:eastAsia="Aptos Display" w:cs="Aptos Display"/>
          <w:color w:val="FFFFFF"/>
          <w:sz w:val="34"/>
        </w:rPr>
        <w:t>02. Core Doctrine</w:t>
      </w:r>
    </w:p>
    <w:p>
      <w:pPr>
        <w:pStyle w:val="Heading2"/>
        <w:keepNext/>
        <w:widowControl/>
      </w:pPr>
      <w:r>
        <w:rPr>
          <w:rFonts w:ascii="Aptos Display" w:hAnsi="Aptos Display" w:eastAsia="Aptos Display" w:cs="Aptos Display"/>
          <w:color w:val="0A2F40"/>
          <w:sz w:val="24"/>
        </w:rPr>
        <w:t>Institutional Authority Is Non-Transitive</w:t>
      </w:r>
    </w:p>
    <w:p>
      <w:r>
        <w:rPr>
          <w:rFonts w:ascii="Aptos" w:hAnsi="Aptos" w:eastAsia="Aptos" w:cs="Aptos"/>
          <w:color w:val="15191B"/>
          <w:sz w:val="21"/>
        </w:rPr>
        <w:t>Where:</w:t>
      </w:r>
    </w:p>
    <w:p>
      <w:pPr>
        <w:pStyle w:val="CodeBlock"/>
      </w:pPr>
      <w:r>
        <w:t>A -&gt; B</w:t>
      </w:r>
    </w:p>
    <w:p>
      <w:r>
        <w:rPr>
          <w:rFonts w:ascii="Aptos" w:hAnsi="Aptos" w:eastAsia="Aptos" w:cs="Aptos"/>
          <w:color w:val="15191B"/>
          <w:sz w:val="21"/>
        </w:rPr>
        <w:t>and:</w:t>
      </w:r>
    </w:p>
    <w:p>
      <w:pPr>
        <w:pStyle w:val="CodeBlock"/>
      </w:pPr>
      <w:r>
        <w:t>B -&gt; C</w:t>
      </w:r>
    </w:p>
    <w:p>
      <w:r>
        <w:rPr>
          <w:rFonts w:ascii="Aptos" w:hAnsi="Aptos" w:eastAsia="Aptos" w:cs="Aptos"/>
          <w:color w:val="15191B"/>
          <w:sz w:val="21"/>
        </w:rPr>
        <w:t>are both valid institutional relationships, the existence of those relationships does not automatically establish:</w:t>
      </w:r>
    </w:p>
    <w:p>
      <w:pPr>
        <w:pStyle w:val="CodeBlock"/>
      </w:pPr>
      <w:r>
        <w:t>A -&gt; C</w:t>
      </w:r>
    </w:p>
    <w:p>
      <w:r>
        <w:rPr>
          <w:rFonts w:ascii="Aptos" w:hAnsi="Aptos" w:eastAsia="Aptos" w:cs="Aptos"/>
          <w:color w:val="15191B"/>
          <w:sz w:val="21"/>
        </w:rPr>
        <w:t>unless a separate, explicit, verifiable, and appropriately scoped authority relationship exists.</w:t>
      </w:r>
    </w:p>
    <w:p>
      <w:r>
        <w:rPr>
          <w:rFonts w:ascii="Aptos" w:hAnsi="Aptos" w:eastAsia="Aptos" w:cs="Aptos"/>
          <w:color w:val="15191B"/>
          <w:sz w:val="21"/>
        </w:rPr>
        <w:t>Accordingly:</w:t>
      </w:r>
    </w:p>
    <w:p>
      <w:pPr>
        <w:pStyle w:val="CodeBlock"/>
      </w:pPr>
      <w:r>
        <w:t>License(A,B) + Publish(B,C) does not imply Endorse(A,C)</w:t>
      </w:r>
    </w:p>
    <w:p>
      <w:r>
        <w:rPr>
          <w:rFonts w:ascii="Aptos" w:hAnsi="Aptos" w:eastAsia="Aptos" w:cs="Aptos"/>
          <w:color w:val="15191B"/>
          <w:sz w:val="21"/>
        </w:rPr>
        <w:t>Likewise:</w:t>
      </w:r>
    </w:p>
    <w:p>
      <w:pPr>
        <w:pStyle w:val="CodeBlock"/>
      </w:pPr>
      <w:r>
        <w:t>Map(A,B) does not imply Equivalent(A,B)</w:t>
      </w:r>
    </w:p>
    <w:p>
      <w:pPr>
        <w:pStyle w:val="CodeBlock"/>
      </w:pPr>
      <w:r>
        <w:t>Cite(A,B) does not imply Validate(A,B)</w:t>
      </w:r>
    </w:p>
    <w:p>
      <w:pPr>
        <w:pStyle w:val="CodeBlock"/>
      </w:pPr>
      <w:r>
        <w:t>Register(A,B) does not imply Approve(A,B)</w:t>
      </w:r>
    </w:p>
    <w:p>
      <w:r>
        <w:rPr>
          <w:rFonts w:ascii="Aptos" w:hAnsi="Aptos" w:eastAsia="Aptos" w:cs="Aptos"/>
          <w:color w:val="15191B"/>
          <w:sz w:val="21"/>
        </w:rPr>
        <w:t>The existence of a path in a graph is not proof of institutional authority.</w:t>
      </w:r>
    </w:p>
    <w:p>
      <w:pPr>
        <w:pStyle w:val="Heading1"/>
        <w:keepNext/>
        <w:widowControl/>
      </w:pPr>
      <w:r>
        <w:rPr>
          <w:rFonts w:ascii="Aptos Display" w:hAnsi="Aptos Display" w:eastAsia="Aptos Display" w:cs="Aptos Display"/>
          <w:color w:val="FFFFFF"/>
          <w:sz w:val="34"/>
        </w:rPr>
        <w:t>03. The Three-Layer Institutional Authority Firewall</w:t>
      </w:r>
    </w:p>
    <w:p>
      <w:pPr>
        <w:pStyle w:val="Heading2"/>
        <w:keepNext/>
        <w:widowControl/>
      </w:pPr>
      <w:r>
        <w:rPr>
          <w:rFonts w:ascii="Aptos Display" w:hAnsi="Aptos Display" w:eastAsia="Aptos Display" w:cs="Aptos Display"/>
          <w:color w:val="0A2F40"/>
          <w:sz w:val="24"/>
        </w:rPr>
        <w:t>Layer 1. Institutional Sovereignty Firewall</w:t>
      </w:r>
    </w:p>
    <w:p>
      <w:r>
        <w:rPr>
          <w:rFonts w:ascii="Aptos" w:hAnsi="Aptos" w:eastAsia="Aptos" w:cs="Aptos"/>
          <w:color w:val="15191B"/>
          <w:sz w:val="21"/>
        </w:rPr>
        <w:t>The Institutional Sovereignty Firewall protects the original authority of:</w:t>
      </w:r>
    </w:p>
    <w:p>
      <w:pPr>
        <w:pStyle w:val="ListBullet"/>
      </w:pPr>
      <w:r>
        <w:rPr>
          <w:rFonts w:ascii="Aptos" w:hAnsi="Aptos" w:eastAsia="Aptos" w:cs="Aptos"/>
          <w:color w:val="15191B"/>
          <w:sz w:val="21"/>
        </w:rPr>
        <w:t>standard setters;</w:t>
      </w:r>
    </w:p>
    <w:p>
      <w:pPr>
        <w:pStyle w:val="ListBullet"/>
      </w:pPr>
      <w:r>
        <w:rPr>
          <w:rFonts w:ascii="Aptos" w:hAnsi="Aptos" w:eastAsia="Aptos" w:cs="Aptos"/>
          <w:color w:val="15191B"/>
          <w:sz w:val="21"/>
        </w:rPr>
        <w:t>regulators;</w:t>
      </w:r>
    </w:p>
    <w:p>
      <w:pPr>
        <w:pStyle w:val="ListBullet"/>
      </w:pPr>
      <w:r>
        <w:rPr>
          <w:rFonts w:ascii="Aptos" w:hAnsi="Aptos" w:eastAsia="Aptos" w:cs="Aptos"/>
          <w:color w:val="15191B"/>
          <w:sz w:val="21"/>
        </w:rPr>
        <w:t>assurance providers;</w:t>
      </w:r>
    </w:p>
    <w:p>
      <w:pPr>
        <w:pStyle w:val="ListBullet"/>
      </w:pPr>
      <w:r>
        <w:rPr>
          <w:rFonts w:ascii="Aptos" w:hAnsi="Aptos" w:eastAsia="Aptos" w:cs="Aptos"/>
          <w:color w:val="15191B"/>
          <w:sz w:val="21"/>
        </w:rPr>
        <w:t>certification bodies;</w:t>
      </w:r>
    </w:p>
    <w:p>
      <w:pPr>
        <w:pStyle w:val="ListBullet"/>
      </w:pPr>
      <w:r>
        <w:rPr>
          <w:rFonts w:ascii="Aptos" w:hAnsi="Aptos" w:eastAsia="Aptos" w:cs="Aptos"/>
          <w:color w:val="15191B"/>
          <w:sz w:val="21"/>
        </w:rPr>
        <w:t>adjudicative authorities; and</w:t>
      </w:r>
    </w:p>
    <w:p>
      <w:pPr>
        <w:pStyle w:val="ListBullet"/>
      </w:pPr>
      <w:r>
        <w:rPr>
          <w:rFonts w:ascii="Aptos" w:hAnsi="Aptos" w:eastAsia="Aptos" w:cs="Aptos"/>
          <w:color w:val="15191B"/>
          <w:sz w:val="21"/>
        </w:rPr>
        <w:t>other formally authorised institutional actors.</w:t>
      </w:r>
    </w:p>
    <w:p>
      <w:r>
        <w:rPr>
          <w:rFonts w:ascii="Aptos" w:hAnsi="Aptos" w:eastAsia="Aptos" w:cs="Aptos"/>
          <w:color w:val="15191B"/>
          <w:sz w:val="21"/>
        </w:rPr>
        <w:t>Its governing principle is:</w:t>
      </w:r>
    </w:p>
    <w:p>
      <w:pPr>
        <w:ind w:left="567" w:right="567"/>
        <w:jc w:val="center"/>
      </w:pPr>
      <w:r>
        <w:rPr>
          <w:rFonts w:ascii="Aptos Display" w:hAnsi="Aptos Display" w:eastAsia="Aptos Display" w:cs="Aptos Display"/>
          <w:b/>
          <w:color w:val="0A2F40"/>
          <w:sz w:val="24"/>
        </w:rPr>
        <w:t>Infrastructure cannot acquire institutional authority merely by processing institutional content.</w:t>
      </w:r>
    </w:p>
    <w:p>
      <w:r>
        <w:rPr>
          <w:rFonts w:ascii="Aptos" w:hAnsi="Aptos" w:eastAsia="Aptos" w:cs="Aptos"/>
          <w:color w:val="15191B"/>
          <w:sz w:val="21"/>
        </w:rPr>
        <w:t>Therefore:</w:t>
      </w:r>
    </w:p>
    <w:p>
      <w:r>
        <w:rPr>
          <w:rFonts w:ascii="Aptos" w:hAnsi="Aptos" w:eastAsia="Aptos" w:cs="Aptos"/>
          <w:b/>
          <w:color w:val="15191B"/>
          <w:sz w:val="21"/>
        </w:rPr>
        <w:t>Pre-Disclosure Evidence Infrastructure ≠ Standard Setter</w:t>
      </w:r>
    </w:p>
    <w:p>
      <w:r>
        <w:rPr>
          <w:rFonts w:ascii="Aptos" w:hAnsi="Aptos" w:eastAsia="Aptos" w:cs="Aptos"/>
          <w:b/>
          <w:color w:val="15191B"/>
          <w:sz w:val="21"/>
        </w:rPr>
        <w:t>Technology Provider ≠ Regulator</w:t>
      </w:r>
    </w:p>
    <w:p>
      <w:r>
        <w:rPr>
          <w:rFonts w:ascii="Aptos" w:hAnsi="Aptos" w:eastAsia="Aptos" w:cs="Aptos"/>
          <w:b/>
          <w:color w:val="15191B"/>
          <w:sz w:val="21"/>
        </w:rPr>
        <w:t>Mapping Engine ≠ Legal Interpreter</w:t>
      </w:r>
    </w:p>
    <w:p>
      <w:r>
        <w:rPr>
          <w:rFonts w:ascii="Aptos" w:hAnsi="Aptos" w:eastAsia="Aptos" w:cs="Aptos"/>
          <w:b/>
          <w:color w:val="15191B"/>
          <w:sz w:val="21"/>
        </w:rPr>
        <w:t>Publisher ≠ Certification Body</w:t>
      </w:r>
    </w:p>
    <w:p>
      <w:r>
        <w:rPr>
          <w:rFonts w:ascii="Aptos" w:hAnsi="Aptos" w:eastAsia="Aptos" w:cs="Aptos"/>
          <w:b/>
          <w:color w:val="15191B"/>
          <w:sz w:val="21"/>
        </w:rPr>
        <w:t>Evidence Platform ≠ Assurance Provider</w:t>
      </w:r>
    </w:p>
    <w:p>
      <w:r>
        <w:rPr>
          <w:rFonts w:ascii="Aptos" w:hAnsi="Aptos" w:eastAsia="Aptos" w:cs="Aptos"/>
          <w:color w:val="15191B"/>
          <w:sz w:val="21"/>
        </w:rPr>
        <w:t>Processing institutional content does not delegate institutional sovereignty.</w:t>
      </w:r>
    </w:p>
    <w:p>
      <w:pPr>
        <w:pStyle w:val="Heading2"/>
        <w:keepNext/>
        <w:widowControl/>
      </w:pPr>
      <w:r>
        <w:rPr>
          <w:rFonts w:ascii="Aptos Display" w:hAnsi="Aptos Display" w:eastAsia="Aptos Display" w:cs="Aptos Display"/>
          <w:color w:val="0A2F40"/>
          <w:sz w:val="24"/>
        </w:rPr>
        <w:t>Layer 2. Interpretive Firewall</w:t>
      </w:r>
    </w:p>
    <w:p>
      <w:r>
        <w:rPr>
          <w:rFonts w:ascii="Aptos" w:hAnsi="Aptos" w:eastAsia="Aptos" w:cs="Aptos"/>
          <w:color w:val="15191B"/>
          <w:sz w:val="21"/>
        </w:rPr>
        <w:t>The Interpretive Firewall protects the original meaning of institutional relationships.</w:t>
      </w:r>
    </w:p>
    <w:p>
      <w:r>
        <w:rPr>
          <w:rFonts w:ascii="Aptos" w:hAnsi="Aptos" w:eastAsia="Aptos" w:cs="Aptos"/>
          <w:color w:val="15191B"/>
          <w:sz w:val="21"/>
        </w:rPr>
        <w:t>A relationship type must not be silently upgraded into a stronger relationship.</w:t>
      </w:r>
    </w:p>
    <w:p>
      <w:r>
        <w:rPr>
          <w:rFonts w:ascii="Aptos" w:hAnsi="Aptos" w:eastAsia="Aptos" w:cs="Aptos"/>
          <w:color w:val="15191B"/>
          <w:sz w:val="21"/>
        </w:rPr>
        <w:t>For example:</w:t>
      </w:r>
    </w:p>
    <w:p>
      <w:r>
        <w:rPr>
          <w:rFonts w:ascii="DejaVu Sans Mono" w:hAnsi="DejaVu Sans Mono" w:eastAsia="DejaVu Sans Mono" w:cs="DejaVu Sans Mono"/>
          <w:color w:val="0B7285"/>
          <w:sz w:val="18"/>
        </w:rPr>
        <w:t>mapped_to</w:t>
      </w:r>
    </w:p>
    <w:p>
      <w:r>
        <w:rPr>
          <w:rFonts w:ascii="Aptos" w:hAnsi="Aptos" w:eastAsia="Aptos" w:cs="Aptos"/>
          <w:color w:val="15191B"/>
          <w:sz w:val="21"/>
        </w:rPr>
        <w:t>must not become:</w:t>
      </w:r>
    </w:p>
    <w:p>
      <w:r>
        <w:rPr>
          <w:rFonts w:ascii="DejaVu Sans Mono" w:hAnsi="DejaVu Sans Mono" w:eastAsia="DejaVu Sans Mono" w:cs="DejaVu Sans Mono"/>
          <w:color w:val="0B7285"/>
          <w:sz w:val="18"/>
        </w:rPr>
        <w:t>equivalent_to</w:t>
      </w:r>
    </w:p>
    <w:p>
      <w:r>
        <w:rPr>
          <w:rFonts w:ascii="DejaVu Sans Mono" w:hAnsi="DejaVu Sans Mono" w:eastAsia="DejaVu Sans Mono" w:cs="DejaVu Sans Mono"/>
          <w:color w:val="0B7285"/>
          <w:sz w:val="18"/>
        </w:rPr>
        <w:t>licensed_by</w:t>
      </w:r>
    </w:p>
    <w:p>
      <w:r>
        <w:rPr>
          <w:rFonts w:ascii="Aptos" w:hAnsi="Aptos" w:eastAsia="Aptos" w:cs="Aptos"/>
          <w:color w:val="15191B"/>
          <w:sz w:val="21"/>
        </w:rPr>
        <w:t>must not become:</w:t>
      </w:r>
    </w:p>
    <w:p>
      <w:r>
        <w:rPr>
          <w:rFonts w:ascii="DejaVu Sans Mono" w:hAnsi="DejaVu Sans Mono" w:eastAsia="DejaVu Sans Mono" w:cs="DejaVu Sans Mono"/>
          <w:color w:val="0B7285"/>
          <w:sz w:val="18"/>
        </w:rPr>
        <w:t>endorsed_by</w:t>
      </w:r>
    </w:p>
    <w:p>
      <w:r>
        <w:rPr>
          <w:rFonts w:ascii="DejaVu Sans Mono" w:hAnsi="DejaVu Sans Mono" w:eastAsia="DejaVu Sans Mono" w:cs="DejaVu Sans Mono"/>
          <w:color w:val="0B7285"/>
          <w:sz w:val="18"/>
        </w:rPr>
        <w:t>cited_by</w:t>
      </w:r>
    </w:p>
    <w:p>
      <w:r>
        <w:rPr>
          <w:rFonts w:ascii="Aptos" w:hAnsi="Aptos" w:eastAsia="Aptos" w:cs="Aptos"/>
          <w:color w:val="15191B"/>
          <w:sz w:val="21"/>
        </w:rPr>
        <w:t>must not become:</w:t>
      </w:r>
    </w:p>
    <w:p>
      <w:r>
        <w:rPr>
          <w:rFonts w:ascii="DejaVu Sans Mono" w:hAnsi="DejaVu Sans Mono" w:eastAsia="DejaVu Sans Mono" w:cs="DejaVu Sans Mono"/>
          <w:color w:val="0B7285"/>
          <w:sz w:val="18"/>
        </w:rPr>
        <w:t>validated_by</w:t>
      </w:r>
    </w:p>
    <w:p>
      <w:r>
        <w:rPr>
          <w:rFonts w:ascii="Aptos" w:hAnsi="Aptos" w:eastAsia="Aptos" w:cs="Aptos"/>
          <w:color w:val="15191B"/>
          <w:sz w:val="21"/>
        </w:rPr>
        <w:t>The governing principle is:</w:t>
      </w:r>
    </w:p>
    <w:p>
      <w:pPr>
        <w:ind w:left="567" w:right="567"/>
        <w:jc w:val="center"/>
      </w:pPr>
      <w:r>
        <w:rPr>
          <w:rFonts w:ascii="Aptos Display" w:hAnsi="Aptos Display" w:eastAsia="Aptos Display" w:cs="Aptos Display"/>
          <w:b/>
          <w:color w:val="0A2F40"/>
          <w:sz w:val="24"/>
        </w:rPr>
        <w:t>Relationship types must be preserved.</w:t>
      </w:r>
    </w:p>
    <w:p>
      <w:r>
        <w:rPr>
          <w:rFonts w:ascii="Aptos" w:hAnsi="Aptos" w:eastAsia="Aptos" w:cs="Aptos"/>
          <w:color w:val="15191B"/>
          <w:sz w:val="21"/>
        </w:rPr>
        <w:t>Machine-readable interoperability must preserve the original legal, technical, and institutional meaning of each edge.</w:t>
      </w:r>
    </w:p>
    <w:p>
      <w:pPr>
        <w:pStyle w:val="Heading2"/>
        <w:keepNext/>
        <w:widowControl/>
      </w:pPr>
      <w:r>
        <w:rPr>
          <w:rFonts w:ascii="Aptos Display" w:hAnsi="Aptos Display" w:eastAsia="Aptos Display" w:cs="Aptos Display"/>
          <w:color w:val="0A2F40"/>
          <w:sz w:val="24"/>
        </w:rPr>
        <w:t>Layer 3. Machine Interpretation Firewall</w:t>
      </w:r>
    </w:p>
    <w:p>
      <w:r>
        <w:rPr>
          <w:rFonts w:ascii="Aptos" w:hAnsi="Aptos" w:eastAsia="Aptos" w:cs="Aptos"/>
          <w:color w:val="15191B"/>
          <w:sz w:val="21"/>
        </w:rPr>
        <w:t>The Machine Interpretation Firewall governs conclusions created by:</w:t>
      </w:r>
    </w:p>
    <w:p>
      <w:pPr>
        <w:pStyle w:val="ListBullet"/>
      </w:pPr>
      <w:r>
        <w:rPr>
          <w:rFonts w:ascii="Aptos" w:hAnsi="Aptos" w:eastAsia="Aptos" w:cs="Aptos"/>
          <w:color w:val="15191B"/>
          <w:sz w:val="21"/>
        </w:rPr>
        <w:t>AI agents;</w:t>
      </w:r>
    </w:p>
    <w:p>
      <w:pPr>
        <w:pStyle w:val="ListBullet"/>
      </w:pPr>
      <w:r>
        <w:rPr>
          <w:rFonts w:ascii="Aptos" w:hAnsi="Aptos" w:eastAsia="Aptos" w:cs="Aptos"/>
          <w:color w:val="15191B"/>
          <w:sz w:val="21"/>
        </w:rPr>
        <w:t>search systems;</w:t>
      </w:r>
    </w:p>
    <w:p>
      <w:pPr>
        <w:pStyle w:val="ListBullet"/>
      </w:pPr>
      <w:r>
        <w:rPr>
          <w:rFonts w:ascii="Aptos" w:hAnsi="Aptos" w:eastAsia="Aptos" w:cs="Aptos"/>
          <w:color w:val="15191B"/>
          <w:sz w:val="21"/>
        </w:rPr>
        <w:t>retrieval-augmented generation;</w:t>
      </w:r>
    </w:p>
    <w:p>
      <w:pPr>
        <w:pStyle w:val="ListBullet"/>
      </w:pPr>
      <w:r>
        <w:rPr>
          <w:rFonts w:ascii="Aptos" w:hAnsi="Aptos" w:eastAsia="Aptos" w:cs="Aptos"/>
          <w:color w:val="15191B"/>
          <w:sz w:val="21"/>
        </w:rPr>
        <w:t>automated knowledge graphs;</w:t>
      </w:r>
    </w:p>
    <w:p>
      <w:pPr>
        <w:pStyle w:val="ListBullet"/>
      </w:pPr>
      <w:r>
        <w:rPr>
          <w:rFonts w:ascii="Aptos" w:hAnsi="Aptos" w:eastAsia="Aptos" w:cs="Aptos"/>
          <w:color w:val="15191B"/>
          <w:sz w:val="21"/>
        </w:rPr>
        <w:t>compliance engines; and</w:t>
      </w:r>
    </w:p>
    <w:p>
      <w:pPr>
        <w:pStyle w:val="ListBullet"/>
      </w:pPr>
      <w:r>
        <w:rPr>
          <w:rFonts w:ascii="Aptos" w:hAnsi="Aptos" w:eastAsia="Aptos" w:cs="Aptos"/>
          <w:color w:val="15191B"/>
          <w:sz w:val="21"/>
        </w:rPr>
        <w:t>other machine reasoning systems.</w:t>
      </w:r>
    </w:p>
    <w:p>
      <w:r>
        <w:rPr>
          <w:rFonts w:ascii="Aptos" w:hAnsi="Aptos" w:eastAsia="Aptos" w:cs="Aptos"/>
          <w:color w:val="15191B"/>
          <w:sz w:val="21"/>
        </w:rPr>
        <w:t>Its governing principle is:</w:t>
      </w:r>
    </w:p>
    <w:p>
      <w:pPr>
        <w:ind w:left="567" w:right="567"/>
        <w:jc w:val="center"/>
      </w:pPr>
      <w:r>
        <w:rPr>
          <w:rFonts w:ascii="Aptos Display" w:hAnsi="Aptos Display" w:eastAsia="Aptos Display" w:cs="Aptos Display"/>
          <w:b/>
          <w:color w:val="0A2F40"/>
          <w:sz w:val="24"/>
        </w:rPr>
        <w:t>Machine inference does not constitute institutional judgment.</w:t>
      </w:r>
    </w:p>
    <w:p>
      <w:r>
        <w:rPr>
          <w:rFonts w:ascii="Aptos" w:hAnsi="Aptos" w:eastAsia="Aptos" w:cs="Aptos"/>
          <w:color w:val="15191B"/>
          <w:sz w:val="21"/>
        </w:rPr>
        <w:t>Accordingly:</w:t>
      </w:r>
    </w:p>
    <w:p>
      <w:pPr>
        <w:pStyle w:val="CodeBlock"/>
      </w:pPr>
      <w:r>
        <w:t>Authoritative Sources</w:t>
        <w:br/>
        <w:t>+</w:t>
        <w:br/>
        <w:t>Correct Relationships</w:t>
        <w:br/>
        <w:t>+</w:t>
        <w:br/>
        <w:t>Machine Reasoning</w:t>
      </w:r>
    </w:p>
    <w:p>
      <w:r>
        <w:rPr>
          <w:rFonts w:ascii="Aptos" w:hAnsi="Aptos" w:eastAsia="Aptos" w:cs="Aptos"/>
          <w:color w:val="15191B"/>
          <w:sz w:val="21"/>
        </w:rPr>
        <w:t>does not automatically equal:</w:t>
      </w:r>
    </w:p>
    <w:p>
      <w:pPr>
        <w:pStyle w:val="CodeBlock"/>
      </w:pPr>
      <w:r>
        <w:t>Institutional Judgment</w:t>
      </w:r>
    </w:p>
    <w:p>
      <w:r>
        <w:rPr>
          <w:rFonts w:ascii="Aptos" w:hAnsi="Aptos" w:eastAsia="Aptos" w:cs="Aptos"/>
          <w:color w:val="15191B"/>
          <w:sz w:val="21"/>
        </w:rPr>
        <w:t>A machine may generate an inference.</w:t>
      </w:r>
    </w:p>
    <w:p>
      <w:r>
        <w:rPr>
          <w:rFonts w:ascii="Aptos" w:hAnsi="Aptos" w:eastAsia="Aptos" w:cs="Aptos"/>
          <w:color w:val="15191B"/>
          <w:sz w:val="21"/>
        </w:rPr>
        <w:t>It may not represent that inference as the decision, endorsement, approval, interpretation, or judgment of an institution unless the institution itself has issued that conclusion.</w:t>
      </w:r>
    </w:p>
    <w:p>
      <w:pPr/>
      <w:r>
        <w:t>Machine-generated retrieval, classification, synthesis, or recommendation does not constitute institutional approval, assurance, compliance determination, regulatory interpretation, or authorised decision-making. Accountable human or institutional authority remains required.</w:t>
      </w:r>
    </w:p>
    <w:p>
      <w:pPr>
        <w:pStyle w:val="Heading1"/>
        <w:keepNext/>
        <w:widowControl/>
      </w:pPr>
      <w:r>
        <w:rPr>
          <w:rFonts w:ascii="Aptos Display" w:hAnsi="Aptos Display" w:eastAsia="Aptos Display" w:cs="Aptos Display"/>
          <w:color w:val="FFFFFF"/>
          <w:sz w:val="34"/>
        </w:rPr>
        <w:t>04. Authority Edge Typing</w:t>
      </w:r>
    </w:p>
    <w:p>
      <w:r>
        <w:rPr>
          <w:rFonts w:ascii="Aptos" w:hAnsi="Aptos" w:eastAsia="Aptos" w:cs="Aptos"/>
          <w:color w:val="15191B"/>
          <w:sz w:val="21"/>
        </w:rPr>
        <w:t>Institutional graphs should use explicit relationship types.</w:t>
      </w:r>
    </w:p>
    <w:p>
      <w:r>
        <w:rPr>
          <w:rFonts w:ascii="Aptos" w:hAnsi="Aptos" w:eastAsia="Aptos" w:cs="Aptos"/>
          <w:color w:val="15191B"/>
          <w:sz w:val="21"/>
        </w:rPr>
        <w:t xml:space="preserve">A generic relationship such as </w:t>
      </w:r>
      <w:r>
        <w:rPr>
          <w:rFonts w:ascii="DejaVu Sans Mono" w:hAnsi="DejaVu Sans Mono" w:eastAsia="DejaVu Sans Mono" w:cs="DejaVu Sans Mono"/>
          <w:color w:val="0B7285"/>
          <w:sz w:val="18"/>
        </w:rPr>
        <w:t>related_to</w:t>
      </w:r>
      <w:r>
        <w:rPr>
          <w:rFonts w:ascii="Aptos" w:hAnsi="Aptos" w:eastAsia="Aptos" w:cs="Aptos"/>
          <w:color w:val="15191B"/>
          <w:sz w:val="21"/>
        </w:rPr>
        <w:t xml:space="preserve"> is insufficient where the legal or institutional meaning of the relationship matters.</w:t>
      </w:r>
    </w:p>
    <w:tbl>
      <w:tblPr>
        <w:tblW w:type="auto" w:w="0"/>
        <w:tblLayout w:type="fixed"/>
        <w:tblLook w:firstColumn="1" w:firstRow="1" w:lastColumn="0" w:lastRow="0" w:noHBand="0" w:noVBand="1" w:val="04A0"/>
      </w:tblPr>
      <w:tblGrid>
        <w:gridCol w:w="3118"/>
        <w:gridCol w:w="3118"/>
        <w:gridCol w:w="3118"/>
      </w:tblGrid>
      <w:tr>
        <w:trPr>
          <w:cantSplit/>
          <w:tblHeader w:val="true"/>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176B87"/>
          </w:tcPr>
          <w:p>
            <w:r>
              <w:rPr>
                <w:rFonts w:ascii="Aptos" w:hAnsi="Aptos" w:eastAsia="Aptos" w:cs="Aptos"/>
                <w:b/>
                <w:color w:val="FFFFFF"/>
                <w:sz w:val="16"/>
              </w:rPr>
              <w:t>Relationship Type</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176B87"/>
          </w:tcPr>
          <w:p>
            <w:r>
              <w:rPr>
                <w:rFonts w:ascii="Aptos" w:hAnsi="Aptos" w:eastAsia="Aptos" w:cs="Aptos"/>
                <w:b/>
                <w:color w:val="FFFFFF"/>
                <w:sz w:val="16"/>
              </w:rPr>
              <w:t>Correct Meaning</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176B87"/>
          </w:tcPr>
          <w:p>
            <w:r>
              <w:rPr>
                <w:rFonts w:ascii="Aptos" w:hAnsi="Aptos" w:eastAsia="Aptos" w:cs="Aptos"/>
                <w:b/>
                <w:color w:val="FFFFFF"/>
                <w:sz w:val="16"/>
              </w:rPr>
              <w:t>Does Not Mean</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licensed_by</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lawful licensing relationship</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endorsement</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member_of</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membership relationship</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delegated authority</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published_by</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publication responsibility</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scientific validation</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registered_with</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registration relationship</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substantive approval</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cites</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citation</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adoption</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mapped_to</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analytical or evidence relationship</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equivalence</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derived_from</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derivation relationship</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authority inheritance</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uses_standard</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use of a standard</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certification</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verified_by</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verification within defined scope</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universal validity</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assured_by</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assurance within defined scope</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general certification</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DejaVu Sans Mono" w:hAnsi="DejaVu Sans Mono" w:eastAsia="DejaVu Sans Mono" w:cs="DejaVu Sans Mono"/>
                <w:color w:val="0B7285"/>
                <w:sz w:val="18"/>
              </w:rPr>
              <w:t>certified_by</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certification within defined scope</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FFFFFF"/>
          </w:tcPr>
          <w:p>
            <w:r>
              <w:rPr>
                <w:rFonts w:ascii="Aptos" w:hAnsi="Aptos" w:eastAsia="Aptos" w:cs="Aptos"/>
                <w:color w:val="15191B"/>
                <w:sz w:val="16"/>
              </w:rPr>
              <w:t>broader endorsement</w:t>
            </w:r>
          </w:p>
        </w:tc>
      </w:tr>
      <w:tr>
        <w:trPr>
          <w:cantSplit/>
        </w:trPr>
        <w:tc>
          <w:tcPr>
            <w:tcW w:type="dxa" w:w="2324"/>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DejaVu Sans Mono" w:hAnsi="DejaVu Sans Mono" w:eastAsia="DejaVu Sans Mono" w:cs="DejaVu Sans Mono"/>
                <w:color w:val="0B7285"/>
                <w:sz w:val="18"/>
              </w:rPr>
              <w:t>supersedes</w:t>
            </w:r>
          </w:p>
        </w:tc>
        <w:tc>
          <w:tcPr>
            <w:tcW w:type="dxa" w:w="3402"/>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replacement of a prior version</w:t>
            </w:r>
          </w:p>
        </w:tc>
        <w:tc>
          <w:tcPr>
            <w:tcW w:type="dxa" w:w="3005"/>
            <w:tcMar>
              <w:top w:w="100" w:type="dxa"/>
              <w:start w:w="110" w:type="dxa"/>
              <w:bottom w:w="100" w:type="dxa"/>
              <w:end w:w="110" w:type="dxa"/>
            </w:tcMar>
            <w:tcBorders>
              <w:top w:val="single" w:sz="4" w:color="D9E0E3"/>
              <w:left w:val="single" w:sz="4" w:color="D9E0E3"/>
              <w:bottom w:val="single" w:sz="4" w:color="D9E0E3"/>
              <w:right w:val="single" w:sz="4" w:color="D9E0E3"/>
              <w:insideH w:val="single" w:sz="4" w:color="D9E0E3"/>
              <w:insideV w:val="single" w:sz="4" w:color="D9E0E3"/>
            </w:tcBorders>
            <w:vAlign w:val="center"/>
            <w:shd w:fill="E7F3F7"/>
          </w:tcPr>
          <w:p>
            <w:r>
              <w:rPr>
                <w:rFonts w:ascii="Aptos" w:hAnsi="Aptos" w:eastAsia="Aptos" w:cs="Aptos"/>
                <w:color w:val="15191B"/>
                <w:sz w:val="16"/>
              </w:rPr>
              <w:t>invalidation of every historical reference</w:t>
            </w:r>
          </w:p>
        </w:tc>
      </w:tr>
    </w:tbl>
    <w:p/>
    <w:p>
      <w:r>
        <w:rPr>
          <w:rFonts w:ascii="Aptos" w:hAnsi="Aptos" w:eastAsia="Aptos" w:cs="Aptos"/>
          <w:color w:val="15191B"/>
          <w:sz w:val="21"/>
        </w:rPr>
        <w:t>Relationship typing is itself a governance control.</w:t>
      </w:r>
    </w:p>
    <w:p>
      <w:pPr>
        <w:pStyle w:val="Heading1"/>
        <w:keepNext/>
        <w:widowControl/>
      </w:pPr>
      <w:r>
        <w:rPr>
          <w:rFonts w:ascii="Aptos Display" w:hAnsi="Aptos Display" w:eastAsia="Aptos Display" w:cs="Aptos Display"/>
          <w:color w:val="FFFFFF"/>
          <w:sz w:val="34"/>
        </w:rPr>
        <w:t>05. Authority Scope Principle</w:t>
      </w:r>
    </w:p>
    <w:p>
      <w:r>
        <w:rPr>
          <w:rFonts w:ascii="Aptos" w:hAnsi="Aptos" w:eastAsia="Aptos" w:cs="Aptos"/>
          <w:color w:val="15191B"/>
          <w:sz w:val="21"/>
        </w:rPr>
        <w:t>Institutional authority is always bounded.</w:t>
      </w:r>
    </w:p>
    <w:p>
      <w:r>
        <w:rPr>
          <w:rFonts w:ascii="Aptos" w:hAnsi="Aptos" w:eastAsia="Aptos" w:cs="Aptos"/>
          <w:color w:val="15191B"/>
          <w:sz w:val="21"/>
        </w:rPr>
        <w:t>Any authority relationship should answer:</w:t>
      </w:r>
    </w:p>
    <w:p>
      <w:pPr>
        <w:pStyle w:val="ListBullet"/>
      </w:pPr>
      <w:r>
        <w:rPr>
          <w:rFonts w:ascii="Aptos" w:hAnsi="Aptos" w:eastAsia="Aptos" w:cs="Aptos"/>
          <w:b/>
          <w:color w:val="15191B"/>
          <w:sz w:val="21"/>
        </w:rPr>
        <w:t>Who?</w:t>
      </w:r>
    </w:p>
    <w:p>
      <w:pPr>
        <w:pStyle w:val="ListBullet"/>
      </w:pPr>
      <w:r>
        <w:rPr>
          <w:rFonts w:ascii="Aptos" w:hAnsi="Aptos" w:eastAsia="Aptos" w:cs="Aptos"/>
          <w:b/>
          <w:color w:val="15191B"/>
          <w:sz w:val="21"/>
        </w:rPr>
        <w:t>What?</w:t>
      </w:r>
    </w:p>
    <w:p>
      <w:pPr>
        <w:pStyle w:val="ListBullet"/>
      </w:pPr>
      <w:r>
        <w:rPr>
          <w:rFonts w:ascii="Aptos" w:hAnsi="Aptos" w:eastAsia="Aptos" w:cs="Aptos"/>
          <w:b/>
          <w:color w:val="15191B"/>
          <w:sz w:val="21"/>
        </w:rPr>
        <w:t>For what purpose?</w:t>
      </w:r>
    </w:p>
    <w:p>
      <w:pPr>
        <w:pStyle w:val="ListBullet"/>
      </w:pPr>
      <w:r>
        <w:rPr>
          <w:rFonts w:ascii="Aptos" w:hAnsi="Aptos" w:eastAsia="Aptos" w:cs="Aptos"/>
          <w:b/>
          <w:color w:val="15191B"/>
          <w:sz w:val="21"/>
        </w:rPr>
        <w:t>For which version?</w:t>
      </w:r>
    </w:p>
    <w:p>
      <w:pPr>
        <w:pStyle w:val="ListBullet"/>
      </w:pPr>
      <w:r>
        <w:rPr>
          <w:rFonts w:ascii="Aptos" w:hAnsi="Aptos" w:eastAsia="Aptos" w:cs="Aptos"/>
          <w:b/>
          <w:color w:val="15191B"/>
          <w:sz w:val="21"/>
        </w:rPr>
        <w:t>In which jurisdiction?</w:t>
      </w:r>
    </w:p>
    <w:p>
      <w:pPr>
        <w:pStyle w:val="ListBullet"/>
      </w:pPr>
      <w:r>
        <w:rPr>
          <w:rFonts w:ascii="Aptos" w:hAnsi="Aptos" w:eastAsia="Aptos" w:cs="Aptos"/>
          <w:b/>
          <w:color w:val="15191B"/>
          <w:sz w:val="21"/>
        </w:rPr>
        <w:t>For which period?</w:t>
      </w:r>
    </w:p>
    <w:p>
      <w:pPr>
        <w:pStyle w:val="ListBullet"/>
      </w:pPr>
      <w:r>
        <w:rPr>
          <w:rFonts w:ascii="Aptos" w:hAnsi="Aptos" w:eastAsia="Aptos" w:cs="Aptos"/>
          <w:b/>
          <w:color w:val="15191B"/>
          <w:sz w:val="21"/>
        </w:rPr>
        <w:t>Under which conditions?</w:t>
      </w:r>
    </w:p>
    <w:p>
      <w:r>
        <w:rPr>
          <w:rFonts w:ascii="Aptos" w:hAnsi="Aptos" w:eastAsia="Aptos" w:cs="Aptos"/>
          <w:color w:val="15191B"/>
          <w:sz w:val="21"/>
        </w:rPr>
        <w:t>For example, where an assurance provider issues limited assurance over FY2026 Scope 1 emissions, that relationship must not be expanded into a claim that the assurance provider has certified the organisation's overall sustainability performance.</w:t>
      </w:r>
    </w:p>
    <w:p>
      <w:r>
        <w:rPr>
          <w:rFonts w:ascii="Aptos" w:hAnsi="Aptos" w:eastAsia="Aptos" w:cs="Aptos"/>
          <w:color w:val="15191B"/>
          <w:sz w:val="21"/>
        </w:rPr>
        <w:t>The governing principle is:</w:t>
      </w:r>
    </w:p>
    <w:p>
      <w:pPr>
        <w:ind w:left="567" w:right="567"/>
        <w:jc w:val="center"/>
      </w:pPr>
      <w:r>
        <w:rPr>
          <w:rFonts w:ascii="Aptos Display" w:hAnsi="Aptos Display" w:eastAsia="Aptos Display" w:cs="Aptos Display"/>
          <w:b/>
          <w:color w:val="0A2F40"/>
          <w:sz w:val="24"/>
        </w:rPr>
        <w:t>Authority is always scope-bound.</w:t>
      </w:r>
    </w:p>
    <w:p>
      <w:pPr>
        <w:pStyle w:val="Heading1"/>
        <w:keepNext/>
        <w:widowControl/>
      </w:pPr>
      <w:r>
        <w:rPr>
          <w:rFonts w:ascii="Aptos Display" w:hAnsi="Aptos Display" w:eastAsia="Aptos Display" w:cs="Aptos Display"/>
          <w:color w:val="FFFFFF"/>
          <w:sz w:val="34"/>
        </w:rPr>
        <w:t>06. Temporal Authority</w:t>
      </w:r>
    </w:p>
    <w:p>
      <w:r>
        <w:rPr>
          <w:rFonts w:ascii="Aptos" w:hAnsi="Aptos" w:eastAsia="Aptos" w:cs="Aptos"/>
          <w:color w:val="15191B"/>
          <w:sz w:val="21"/>
        </w:rPr>
        <w:t>Authority is also time-bound.</w:t>
      </w:r>
    </w:p>
    <w:p>
      <w:r>
        <w:rPr>
          <w:rFonts w:ascii="Aptos" w:hAnsi="Aptos" w:eastAsia="Aptos" w:cs="Aptos"/>
          <w:color w:val="15191B"/>
          <w:sz w:val="21"/>
        </w:rPr>
        <w:t>An institutional relationship may:</w:t>
      </w:r>
    </w:p>
    <w:p>
      <w:pPr>
        <w:pStyle w:val="ListBullet"/>
      </w:pPr>
      <w:r>
        <w:rPr>
          <w:rFonts w:ascii="Aptos" w:hAnsi="Aptos" w:eastAsia="Aptos" w:cs="Aptos"/>
          <w:color w:val="15191B"/>
          <w:sz w:val="21"/>
        </w:rPr>
        <w:t>become effective;</w:t>
      </w:r>
    </w:p>
    <w:p>
      <w:pPr>
        <w:pStyle w:val="ListBullet"/>
      </w:pPr>
      <w:r>
        <w:rPr>
          <w:rFonts w:ascii="Aptos" w:hAnsi="Aptos" w:eastAsia="Aptos" w:cs="Aptos"/>
          <w:color w:val="15191B"/>
          <w:sz w:val="21"/>
        </w:rPr>
        <w:t>expire;</w:t>
      </w:r>
    </w:p>
    <w:p>
      <w:pPr>
        <w:pStyle w:val="ListBullet"/>
      </w:pPr>
      <w:r>
        <w:rPr>
          <w:rFonts w:ascii="Aptos" w:hAnsi="Aptos" w:eastAsia="Aptos" w:cs="Aptos"/>
          <w:color w:val="15191B"/>
          <w:sz w:val="21"/>
        </w:rPr>
        <w:t>be amended;</w:t>
      </w:r>
    </w:p>
    <w:p>
      <w:pPr>
        <w:pStyle w:val="ListBullet"/>
      </w:pPr>
      <w:r>
        <w:rPr>
          <w:rFonts w:ascii="Aptos" w:hAnsi="Aptos" w:eastAsia="Aptos" w:cs="Aptos"/>
          <w:color w:val="15191B"/>
          <w:sz w:val="21"/>
        </w:rPr>
        <w:t>be withdrawn;</w:t>
      </w:r>
    </w:p>
    <w:p>
      <w:pPr>
        <w:pStyle w:val="ListBullet"/>
      </w:pPr>
      <w:r>
        <w:rPr>
          <w:rFonts w:ascii="Aptos" w:hAnsi="Aptos" w:eastAsia="Aptos" w:cs="Aptos"/>
          <w:color w:val="15191B"/>
          <w:sz w:val="21"/>
        </w:rPr>
        <w:t>be suspended;</w:t>
      </w:r>
    </w:p>
    <w:p>
      <w:pPr>
        <w:pStyle w:val="ListBullet"/>
      </w:pPr>
      <w:r>
        <w:rPr>
          <w:rFonts w:ascii="Aptos" w:hAnsi="Aptos" w:eastAsia="Aptos" w:cs="Aptos"/>
          <w:color w:val="15191B"/>
          <w:sz w:val="21"/>
        </w:rPr>
        <w:t>be replaced; or</w:t>
      </w:r>
    </w:p>
    <w:p>
      <w:pPr>
        <w:pStyle w:val="ListBullet"/>
      </w:pPr>
      <w:r>
        <w:rPr>
          <w:rFonts w:ascii="Aptos" w:hAnsi="Aptos" w:eastAsia="Aptos" w:cs="Aptos"/>
          <w:color w:val="15191B"/>
          <w:sz w:val="21"/>
        </w:rPr>
        <w:t>be superseded.</w:t>
      </w:r>
    </w:p>
    <w:p>
      <w:r>
        <w:rPr>
          <w:rFonts w:ascii="Aptos" w:hAnsi="Aptos" w:eastAsia="Aptos" w:cs="Aptos"/>
          <w:color w:val="15191B"/>
          <w:sz w:val="21"/>
        </w:rPr>
        <w:t>Machine-readable institutional objects should therefore preserve, where applicable:</w:t>
      </w:r>
    </w:p>
    <w:p>
      <w:pPr>
        <w:pStyle w:val="CodeBlock"/>
      </w:pPr>
      <w:r>
        <w:t>effective_date</w:t>
        <w:br/>
        <w:t>valid_until</w:t>
        <w:br/>
        <w:t>status</w:t>
        <w:br/>
        <w:t>version</w:t>
        <w:br/>
        <w:t>supersedes</w:t>
        <w:br/>
        <w:t>superseded_by</w:t>
      </w:r>
    </w:p>
    <w:p>
      <w:r>
        <w:rPr>
          <w:rFonts w:ascii="Aptos" w:hAnsi="Aptos" w:eastAsia="Aptos" w:cs="Aptos"/>
          <w:color w:val="15191B"/>
          <w:sz w:val="21"/>
        </w:rPr>
        <w:t>A relationship that was valid in the past must not automatically be treated as currently valid.</w:t>
      </w:r>
    </w:p>
    <w:p>
      <w:r>
        <w:rPr>
          <w:rFonts w:ascii="Aptos" w:hAnsi="Aptos" w:eastAsia="Aptos" w:cs="Aptos"/>
          <w:color w:val="15191B"/>
          <w:sz w:val="21"/>
        </w:rPr>
        <w:t>Historical truth and current authority are separate states.</w:t>
      </w:r>
    </w:p>
    <w:p>
      <w:pPr>
        <w:pStyle w:val="Heading1"/>
        <w:keepNext/>
        <w:widowControl/>
      </w:pPr>
      <w:r>
        <w:rPr>
          <w:rFonts w:ascii="Aptos Display" w:hAnsi="Aptos Display" w:eastAsia="Aptos Display" w:cs="Aptos Display"/>
          <w:color w:val="FFFFFF"/>
          <w:sz w:val="34"/>
        </w:rPr>
        <w:t>07. Evidence Is Not Judgment</w:t>
      </w:r>
    </w:p>
    <w:p>
      <w:r>
        <w:rPr>
          <w:rFonts w:ascii="Aptos" w:hAnsi="Aptos" w:eastAsia="Aptos" w:cs="Aptos"/>
          <w:color w:val="15191B"/>
          <w:sz w:val="21"/>
        </w:rPr>
        <w:t>Evidence infrastructure may preserve:</w:t>
      </w:r>
    </w:p>
    <w:p>
      <w:pPr>
        <w:pStyle w:val="ListBullet"/>
      </w:pPr>
      <w:r>
        <w:rPr>
          <w:rFonts w:ascii="Aptos" w:hAnsi="Aptos" w:eastAsia="Aptos" w:cs="Aptos"/>
          <w:color w:val="15191B"/>
          <w:sz w:val="21"/>
        </w:rPr>
        <w:t>sources;</w:t>
      </w:r>
    </w:p>
    <w:p>
      <w:pPr>
        <w:pStyle w:val="ListBullet"/>
      </w:pPr>
      <w:r>
        <w:rPr>
          <w:rFonts w:ascii="Aptos" w:hAnsi="Aptos" w:eastAsia="Aptos" w:cs="Aptos"/>
          <w:color w:val="15191B"/>
          <w:sz w:val="21"/>
        </w:rPr>
        <w:t>documents;</w:t>
      </w:r>
    </w:p>
    <w:p>
      <w:pPr>
        <w:pStyle w:val="ListBullet"/>
      </w:pPr>
      <w:r>
        <w:rPr>
          <w:rFonts w:ascii="Aptos" w:hAnsi="Aptos" w:eastAsia="Aptos" w:cs="Aptos"/>
          <w:color w:val="15191B"/>
          <w:sz w:val="21"/>
        </w:rPr>
        <w:t>measurements;</w:t>
      </w:r>
    </w:p>
    <w:p>
      <w:pPr>
        <w:pStyle w:val="ListBullet"/>
      </w:pPr>
      <w:r>
        <w:rPr>
          <w:rFonts w:ascii="Aptos" w:hAnsi="Aptos" w:eastAsia="Aptos" w:cs="Aptos"/>
          <w:color w:val="15191B"/>
          <w:sz w:val="21"/>
        </w:rPr>
        <w:t>methods;</w:t>
      </w:r>
    </w:p>
    <w:p>
      <w:pPr>
        <w:pStyle w:val="ListBullet"/>
      </w:pPr>
      <w:r>
        <w:rPr>
          <w:rFonts w:ascii="Aptos" w:hAnsi="Aptos" w:eastAsia="Aptos" w:cs="Aptos"/>
          <w:color w:val="15191B"/>
          <w:sz w:val="21"/>
        </w:rPr>
        <w:t>dates;</w:t>
      </w:r>
    </w:p>
    <w:p>
      <w:pPr>
        <w:pStyle w:val="ListBullet"/>
      </w:pPr>
      <w:r>
        <w:rPr>
          <w:rFonts w:ascii="Aptos" w:hAnsi="Aptos" w:eastAsia="Aptos" w:cs="Aptos"/>
          <w:color w:val="15191B"/>
          <w:sz w:val="21"/>
        </w:rPr>
        <w:t>controls;</w:t>
      </w:r>
    </w:p>
    <w:p>
      <w:pPr>
        <w:pStyle w:val="ListBullet"/>
      </w:pPr>
      <w:r>
        <w:rPr>
          <w:rFonts w:ascii="Aptos" w:hAnsi="Aptos" w:eastAsia="Aptos" w:cs="Aptos"/>
          <w:color w:val="15191B"/>
          <w:sz w:val="21"/>
        </w:rPr>
        <w:t>verification states;</w:t>
      </w:r>
    </w:p>
    <w:p>
      <w:pPr>
        <w:pStyle w:val="ListBullet"/>
      </w:pPr>
      <w:r>
        <w:rPr>
          <w:rFonts w:ascii="Aptos" w:hAnsi="Aptos" w:eastAsia="Aptos" w:cs="Aptos"/>
          <w:color w:val="15191B"/>
          <w:sz w:val="21"/>
        </w:rPr>
        <w:t>review states; and</w:t>
      </w:r>
    </w:p>
    <w:p>
      <w:pPr>
        <w:pStyle w:val="ListBullet"/>
      </w:pPr>
      <w:r>
        <w:rPr>
          <w:rFonts w:ascii="Aptos" w:hAnsi="Aptos" w:eastAsia="Aptos" w:cs="Aptos"/>
          <w:color w:val="15191B"/>
          <w:sz w:val="21"/>
        </w:rPr>
        <w:t>versions.</w:t>
      </w:r>
    </w:p>
    <w:p>
      <w:r>
        <w:rPr>
          <w:rFonts w:ascii="Aptos" w:hAnsi="Aptos" w:eastAsia="Aptos" w:cs="Aptos"/>
          <w:color w:val="15191B"/>
          <w:sz w:val="21"/>
        </w:rPr>
        <w:t>Evidence alone does not create:</w:t>
      </w:r>
    </w:p>
    <w:p>
      <w:pPr>
        <w:pStyle w:val="ListBullet"/>
      </w:pPr>
      <w:r>
        <w:rPr>
          <w:rFonts w:ascii="Aptos" w:hAnsi="Aptos" w:eastAsia="Aptos" w:cs="Aptos"/>
          <w:color w:val="15191B"/>
          <w:sz w:val="21"/>
        </w:rPr>
        <w:t>a legal conclusion;</w:t>
      </w:r>
    </w:p>
    <w:p>
      <w:pPr>
        <w:pStyle w:val="ListBullet"/>
      </w:pPr>
      <w:r>
        <w:rPr>
          <w:rFonts w:ascii="Aptos" w:hAnsi="Aptos" w:eastAsia="Aptos" w:cs="Aptos"/>
          <w:color w:val="15191B"/>
          <w:sz w:val="21"/>
        </w:rPr>
        <w:t>regulatory acceptance;</w:t>
      </w:r>
    </w:p>
    <w:p>
      <w:pPr>
        <w:pStyle w:val="ListBullet"/>
      </w:pPr>
      <w:r>
        <w:rPr>
          <w:rFonts w:ascii="Aptos" w:hAnsi="Aptos" w:eastAsia="Aptos" w:cs="Aptos"/>
          <w:color w:val="15191B"/>
          <w:sz w:val="21"/>
        </w:rPr>
        <w:t>a materiality determination;</w:t>
      </w:r>
    </w:p>
    <w:p>
      <w:pPr>
        <w:pStyle w:val="ListBullet"/>
      </w:pPr>
      <w:r>
        <w:rPr>
          <w:rFonts w:ascii="Aptos" w:hAnsi="Aptos" w:eastAsia="Aptos" w:cs="Aptos"/>
          <w:color w:val="15191B"/>
          <w:sz w:val="21"/>
        </w:rPr>
        <w:t>an assurance opinion;</w:t>
      </w:r>
    </w:p>
    <w:p>
      <w:pPr>
        <w:pStyle w:val="ListBullet"/>
      </w:pPr>
      <w:r>
        <w:rPr>
          <w:rFonts w:ascii="Aptos" w:hAnsi="Aptos" w:eastAsia="Aptos" w:cs="Aptos"/>
          <w:color w:val="15191B"/>
          <w:sz w:val="21"/>
        </w:rPr>
        <w:t>a certification; or</w:t>
      </w:r>
    </w:p>
    <w:p>
      <w:pPr>
        <w:pStyle w:val="ListBullet"/>
      </w:pPr>
      <w:r>
        <w:rPr>
          <w:rFonts w:ascii="Aptos" w:hAnsi="Aptos" w:eastAsia="Aptos" w:cs="Aptos"/>
          <w:color w:val="15191B"/>
          <w:sz w:val="21"/>
        </w:rPr>
        <w:t>an institutional decision.</w:t>
      </w:r>
    </w:p>
    <w:p>
      <w:r>
        <w:rPr>
          <w:rFonts w:ascii="Aptos" w:hAnsi="Aptos" w:eastAsia="Aptos" w:cs="Aptos"/>
          <w:color w:val="15191B"/>
          <w:sz w:val="21"/>
        </w:rPr>
        <w:t>Therefore:</w:t>
      </w:r>
    </w:p>
    <w:p>
      <w:pPr>
        <w:pStyle w:val="CodeBlock"/>
      </w:pPr>
      <w:r>
        <w:t>Evidence != Judgment</w:t>
      </w:r>
    </w:p>
    <w:p>
      <w:r>
        <w:rPr>
          <w:rFonts w:ascii="Aptos" w:hAnsi="Aptos" w:eastAsia="Aptos" w:cs="Aptos"/>
          <w:color w:val="15191B"/>
          <w:sz w:val="21"/>
        </w:rPr>
        <w:t>Evidence may support judgment.</w:t>
      </w:r>
    </w:p>
    <w:p>
      <w:r>
        <w:rPr>
          <w:rFonts w:ascii="Aptos" w:hAnsi="Aptos" w:eastAsia="Aptos" w:cs="Aptos"/>
          <w:color w:val="15191B"/>
          <w:sz w:val="21"/>
        </w:rPr>
        <w:t>Judgment must remain with the appropriate decision owner.</w:t>
      </w:r>
    </w:p>
    <w:p>
      <w:pPr>
        <w:pStyle w:val="Heading1"/>
        <w:keepNext/>
        <w:widowControl/>
      </w:pPr>
      <w:r>
        <w:rPr>
          <w:rFonts w:ascii="Aptos Display" w:hAnsi="Aptos Display" w:eastAsia="Aptos Display" w:cs="Aptos Display"/>
          <w:color w:val="FFFFFF"/>
          <w:sz w:val="34"/>
        </w:rPr>
        <w:t>08. Mapping Is Not Equivalence</w:t>
      </w:r>
    </w:p>
    <w:p>
      <w:r>
        <w:rPr>
          <w:rFonts w:ascii="Aptos" w:hAnsi="Aptos" w:eastAsia="Aptos" w:cs="Aptos"/>
          <w:color w:val="15191B"/>
          <w:sz w:val="21"/>
        </w:rPr>
        <w:t>Two institutional requirements may share:</w:t>
      </w:r>
    </w:p>
    <w:p>
      <w:pPr>
        <w:pStyle w:val="ListBullet"/>
      </w:pPr>
      <w:r>
        <w:rPr>
          <w:rFonts w:ascii="Aptos" w:hAnsi="Aptos" w:eastAsia="Aptos" w:cs="Aptos"/>
          <w:color w:val="15191B"/>
          <w:sz w:val="21"/>
        </w:rPr>
        <w:t>evidence;</w:t>
      </w:r>
    </w:p>
    <w:p>
      <w:pPr>
        <w:pStyle w:val="ListBullet"/>
      </w:pPr>
      <w:r>
        <w:rPr>
          <w:rFonts w:ascii="Aptos" w:hAnsi="Aptos" w:eastAsia="Aptos" w:cs="Aptos"/>
          <w:color w:val="15191B"/>
          <w:sz w:val="21"/>
        </w:rPr>
        <w:t>fields;</w:t>
      </w:r>
    </w:p>
    <w:p>
      <w:pPr>
        <w:pStyle w:val="ListBullet"/>
      </w:pPr>
      <w:r>
        <w:rPr>
          <w:rFonts w:ascii="Aptos" w:hAnsi="Aptos" w:eastAsia="Aptos" w:cs="Aptos"/>
          <w:color w:val="15191B"/>
          <w:sz w:val="21"/>
        </w:rPr>
        <w:t>concepts;</w:t>
      </w:r>
    </w:p>
    <w:p>
      <w:pPr>
        <w:pStyle w:val="ListBullet"/>
      </w:pPr>
      <w:r>
        <w:rPr>
          <w:rFonts w:ascii="Aptos" w:hAnsi="Aptos" w:eastAsia="Aptos" w:cs="Aptos"/>
          <w:color w:val="15191B"/>
          <w:sz w:val="21"/>
        </w:rPr>
        <w:t>operational data;</w:t>
      </w:r>
    </w:p>
    <w:p>
      <w:pPr>
        <w:pStyle w:val="ListBullet"/>
      </w:pPr>
      <w:r>
        <w:rPr>
          <w:rFonts w:ascii="Aptos" w:hAnsi="Aptos" w:eastAsia="Aptos" w:cs="Aptos"/>
          <w:color w:val="15191B"/>
          <w:sz w:val="21"/>
        </w:rPr>
        <w:t>or control relationships.</w:t>
      </w:r>
    </w:p>
    <w:p>
      <w:r>
        <w:rPr>
          <w:rFonts w:ascii="Aptos" w:hAnsi="Aptos" w:eastAsia="Aptos" w:cs="Aptos"/>
          <w:color w:val="15191B"/>
          <w:sz w:val="21"/>
        </w:rPr>
        <w:t>They may nevertheless differ in:</w:t>
      </w:r>
    </w:p>
    <w:p>
      <w:pPr>
        <w:pStyle w:val="ListBullet"/>
      </w:pPr>
      <w:r>
        <w:rPr>
          <w:rFonts w:ascii="Aptos" w:hAnsi="Aptos" w:eastAsia="Aptos" w:cs="Aptos"/>
          <w:color w:val="15191B"/>
          <w:sz w:val="21"/>
        </w:rPr>
        <w:t>purpose;</w:t>
      </w:r>
    </w:p>
    <w:p>
      <w:pPr>
        <w:pStyle w:val="ListBullet"/>
      </w:pPr>
      <w:r>
        <w:rPr>
          <w:rFonts w:ascii="Aptos" w:hAnsi="Aptos" w:eastAsia="Aptos" w:cs="Aptos"/>
          <w:color w:val="15191B"/>
          <w:sz w:val="21"/>
        </w:rPr>
        <w:t>materiality logic;</w:t>
      </w:r>
    </w:p>
    <w:p>
      <w:pPr>
        <w:pStyle w:val="ListBullet"/>
      </w:pPr>
      <w:r>
        <w:rPr>
          <w:rFonts w:ascii="Aptos" w:hAnsi="Aptos" w:eastAsia="Aptos" w:cs="Aptos"/>
          <w:color w:val="15191B"/>
          <w:sz w:val="21"/>
        </w:rPr>
        <w:t>scope;</w:t>
      </w:r>
    </w:p>
    <w:p>
      <w:pPr>
        <w:pStyle w:val="ListBullet"/>
      </w:pPr>
      <w:r>
        <w:rPr>
          <w:rFonts w:ascii="Aptos" w:hAnsi="Aptos" w:eastAsia="Aptos" w:cs="Aptos"/>
          <w:color w:val="15191B"/>
          <w:sz w:val="21"/>
        </w:rPr>
        <w:t>legal basis;</w:t>
      </w:r>
    </w:p>
    <w:p>
      <w:pPr>
        <w:pStyle w:val="ListBullet"/>
      </w:pPr>
      <w:r>
        <w:rPr>
          <w:rFonts w:ascii="Aptos" w:hAnsi="Aptos" w:eastAsia="Aptos" w:cs="Aptos"/>
          <w:color w:val="15191B"/>
          <w:sz w:val="21"/>
        </w:rPr>
        <w:t>decision ownership;</w:t>
      </w:r>
    </w:p>
    <w:p>
      <w:pPr>
        <w:pStyle w:val="ListBullet"/>
      </w:pPr>
      <w:r>
        <w:rPr>
          <w:rFonts w:ascii="Aptos" w:hAnsi="Aptos" w:eastAsia="Aptos" w:cs="Aptos"/>
          <w:color w:val="15191B"/>
          <w:sz w:val="21"/>
        </w:rPr>
        <w:t>jurisdiction;</w:t>
      </w:r>
    </w:p>
    <w:p>
      <w:pPr>
        <w:pStyle w:val="ListBullet"/>
      </w:pPr>
      <w:r>
        <w:rPr>
          <w:rFonts w:ascii="Aptos" w:hAnsi="Aptos" w:eastAsia="Aptos" w:cs="Aptos"/>
          <w:color w:val="15191B"/>
          <w:sz w:val="21"/>
        </w:rPr>
        <w:t>measurement methodology; or</w:t>
      </w:r>
    </w:p>
    <w:p>
      <w:pPr>
        <w:pStyle w:val="ListBullet"/>
      </w:pPr>
      <w:r>
        <w:rPr>
          <w:rFonts w:ascii="Aptos" w:hAnsi="Aptos" w:eastAsia="Aptos" w:cs="Aptos"/>
          <w:color w:val="15191B"/>
          <w:sz w:val="21"/>
        </w:rPr>
        <w:t>assurance consequence.</w:t>
      </w:r>
    </w:p>
    <w:p>
      <w:r>
        <w:rPr>
          <w:rFonts w:ascii="Aptos" w:hAnsi="Aptos" w:eastAsia="Aptos" w:cs="Aptos"/>
          <w:color w:val="15191B"/>
          <w:sz w:val="21"/>
        </w:rPr>
        <w:t>Therefore:</w:t>
      </w:r>
    </w:p>
    <w:p>
      <w:pPr>
        <w:pStyle w:val="CodeBlock"/>
      </w:pPr>
      <w:r>
        <w:t>Shared Evidence does not imply Equivalent Requirement</w:t>
      </w:r>
    </w:p>
    <w:p>
      <w:r>
        <w:rPr>
          <w:rFonts w:ascii="Aptos" w:hAnsi="Aptos" w:eastAsia="Aptos" w:cs="Aptos"/>
          <w:color w:val="15191B"/>
          <w:sz w:val="21"/>
        </w:rPr>
        <w:t>and:</w:t>
      </w:r>
    </w:p>
    <w:p>
      <w:pPr>
        <w:pStyle w:val="CodeBlock"/>
      </w:pPr>
      <w:r>
        <w:t>Mapping != Equivalence != Compliance</w:t>
      </w:r>
    </w:p>
    <w:p>
      <w:r>
        <w:rPr>
          <w:rFonts w:ascii="Aptos" w:hAnsi="Aptos" w:eastAsia="Aptos" w:cs="Aptos"/>
          <w:color w:val="15191B"/>
          <w:sz w:val="21"/>
        </w:rPr>
        <w:t>Interoperability must not collapse institutional distinctions.</w:t>
      </w:r>
    </w:p>
    <w:p>
      <w:pPr>
        <w:pStyle w:val="Heading1"/>
        <w:keepNext/>
        <w:widowControl/>
      </w:pPr>
      <w:r>
        <w:rPr>
          <w:rFonts w:ascii="Aptos Display" w:hAnsi="Aptos Display" w:eastAsia="Aptos Display" w:cs="Aptos Display"/>
          <w:color w:val="FFFFFF"/>
          <w:sz w:val="34"/>
        </w:rPr>
        <w:t>09. Licensing Is Not Endorsement</w:t>
      </w:r>
    </w:p>
    <w:p>
      <w:r>
        <w:rPr>
          <w:rFonts w:ascii="Aptos" w:hAnsi="Aptos" w:eastAsia="Aptos" w:cs="Aptos"/>
          <w:color w:val="15191B"/>
          <w:sz w:val="21"/>
        </w:rPr>
        <w:t>Licensing is a defined legal relationship.</w:t>
      </w:r>
    </w:p>
    <w:p>
      <w:r>
        <w:rPr>
          <w:rFonts w:ascii="Aptos" w:hAnsi="Aptos" w:eastAsia="Aptos" w:cs="Aptos"/>
          <w:color w:val="15191B"/>
          <w:sz w:val="21"/>
        </w:rPr>
        <w:t>Depending on the applicable agreement, it may govern:</w:t>
      </w:r>
    </w:p>
    <w:p>
      <w:pPr>
        <w:pStyle w:val="ListBullet"/>
      </w:pPr>
      <w:r>
        <w:rPr>
          <w:rFonts w:ascii="Aptos" w:hAnsi="Aptos" w:eastAsia="Aptos" w:cs="Aptos"/>
          <w:color w:val="15191B"/>
          <w:sz w:val="21"/>
        </w:rPr>
        <w:t>copyright;</w:t>
      </w:r>
    </w:p>
    <w:p>
      <w:pPr>
        <w:pStyle w:val="ListBullet"/>
      </w:pPr>
      <w:r>
        <w:rPr>
          <w:rFonts w:ascii="Aptos" w:hAnsi="Aptos" w:eastAsia="Aptos" w:cs="Aptos"/>
          <w:color w:val="15191B"/>
          <w:sz w:val="21"/>
        </w:rPr>
        <w:t>commercial use;</w:t>
      </w:r>
    </w:p>
    <w:p>
      <w:pPr>
        <w:pStyle w:val="ListBullet"/>
      </w:pPr>
      <w:r>
        <w:rPr>
          <w:rFonts w:ascii="Aptos" w:hAnsi="Aptos" w:eastAsia="Aptos" w:cs="Aptos"/>
          <w:color w:val="15191B"/>
          <w:sz w:val="21"/>
        </w:rPr>
        <w:t>integration rights;</w:t>
      </w:r>
    </w:p>
    <w:p>
      <w:pPr>
        <w:pStyle w:val="ListBullet"/>
      </w:pPr>
      <w:r>
        <w:rPr>
          <w:rFonts w:ascii="Aptos" w:hAnsi="Aptos" w:eastAsia="Aptos" w:cs="Aptos"/>
          <w:color w:val="15191B"/>
          <w:sz w:val="21"/>
        </w:rPr>
        <w:t>distribution;</w:t>
      </w:r>
    </w:p>
    <w:p>
      <w:pPr>
        <w:pStyle w:val="ListBullet"/>
      </w:pPr>
      <w:r>
        <w:rPr>
          <w:rFonts w:ascii="Aptos" w:hAnsi="Aptos" w:eastAsia="Aptos" w:cs="Aptos"/>
          <w:color w:val="15191B"/>
          <w:sz w:val="21"/>
        </w:rPr>
        <w:t>reproduction;</w:t>
      </w:r>
    </w:p>
    <w:p>
      <w:pPr>
        <w:pStyle w:val="ListBullet"/>
      </w:pPr>
      <w:r>
        <w:rPr>
          <w:rFonts w:ascii="Aptos" w:hAnsi="Aptos" w:eastAsia="Aptos" w:cs="Aptos"/>
          <w:color w:val="15191B"/>
          <w:sz w:val="21"/>
        </w:rPr>
        <w:t>branding; or</w:t>
      </w:r>
    </w:p>
    <w:p>
      <w:pPr>
        <w:pStyle w:val="ListBullet"/>
      </w:pPr>
      <w:r>
        <w:rPr>
          <w:rFonts w:ascii="Aptos" w:hAnsi="Aptos" w:eastAsia="Aptos" w:cs="Aptos"/>
          <w:color w:val="15191B"/>
          <w:sz w:val="21"/>
        </w:rPr>
        <w:t>other specified permissions.</w:t>
      </w:r>
    </w:p>
    <w:p>
      <w:r>
        <w:rPr>
          <w:rFonts w:ascii="Aptos" w:hAnsi="Aptos" w:eastAsia="Aptos" w:cs="Aptos"/>
          <w:color w:val="15191B"/>
          <w:sz w:val="21"/>
        </w:rPr>
        <w:t>A licensing relationship does not, by itself, establish:</w:t>
      </w:r>
    </w:p>
    <w:p>
      <w:pPr>
        <w:pStyle w:val="ListBullet"/>
      </w:pPr>
      <w:r>
        <w:rPr>
          <w:rFonts w:ascii="Aptos" w:hAnsi="Aptos" w:eastAsia="Aptos" w:cs="Aptos"/>
          <w:color w:val="15191B"/>
          <w:sz w:val="21"/>
        </w:rPr>
        <w:t>approval;</w:t>
      </w:r>
    </w:p>
    <w:p>
      <w:pPr>
        <w:pStyle w:val="ListBullet"/>
      </w:pPr>
      <w:r>
        <w:rPr>
          <w:rFonts w:ascii="Aptos" w:hAnsi="Aptos" w:eastAsia="Aptos" w:cs="Aptos"/>
          <w:color w:val="15191B"/>
          <w:sz w:val="21"/>
        </w:rPr>
        <w:t>endorsement;</w:t>
      </w:r>
    </w:p>
    <w:p>
      <w:pPr>
        <w:pStyle w:val="ListBullet"/>
      </w:pPr>
      <w:r>
        <w:rPr>
          <w:rFonts w:ascii="Aptos" w:hAnsi="Aptos" w:eastAsia="Aptos" w:cs="Aptos"/>
          <w:color w:val="15191B"/>
          <w:sz w:val="21"/>
        </w:rPr>
        <w:t>validation;</w:t>
      </w:r>
    </w:p>
    <w:p>
      <w:pPr>
        <w:pStyle w:val="ListBullet"/>
      </w:pPr>
      <w:r>
        <w:rPr>
          <w:rFonts w:ascii="Aptos" w:hAnsi="Aptos" w:eastAsia="Aptos" w:cs="Aptos"/>
          <w:color w:val="15191B"/>
          <w:sz w:val="21"/>
        </w:rPr>
        <w:t>certification;</w:t>
      </w:r>
    </w:p>
    <w:p>
      <w:pPr>
        <w:pStyle w:val="ListBullet"/>
      </w:pPr>
      <w:r>
        <w:rPr>
          <w:rFonts w:ascii="Aptos" w:hAnsi="Aptos" w:eastAsia="Aptos" w:cs="Aptos"/>
          <w:color w:val="15191B"/>
          <w:sz w:val="21"/>
        </w:rPr>
        <w:t>assurance; or</w:t>
      </w:r>
    </w:p>
    <w:p>
      <w:pPr>
        <w:pStyle w:val="ListBullet"/>
      </w:pPr>
      <w:r>
        <w:rPr>
          <w:rFonts w:ascii="Aptos" w:hAnsi="Aptos" w:eastAsia="Aptos" w:cs="Aptos"/>
          <w:color w:val="15191B"/>
          <w:sz w:val="21"/>
        </w:rPr>
        <w:t>delegated standard-setting authority.</w:t>
      </w:r>
    </w:p>
    <w:p>
      <w:r>
        <w:rPr>
          <w:rFonts w:ascii="Aptos" w:hAnsi="Aptos" w:eastAsia="Aptos" w:cs="Aptos"/>
          <w:color w:val="15191B"/>
          <w:sz w:val="21"/>
        </w:rPr>
        <w:t>Therefore:</w:t>
      </w:r>
    </w:p>
    <w:p>
      <w:pPr>
        <w:pStyle w:val="CodeBlock"/>
      </w:pPr>
      <w:r>
        <w:t>License != Endorsement</w:t>
      </w:r>
    </w:p>
    <w:p>
      <w:pPr>
        <w:pStyle w:val="Heading1"/>
        <w:keepNext/>
        <w:widowControl/>
      </w:pPr>
      <w:r>
        <w:rPr>
          <w:rFonts w:ascii="Aptos Display" w:hAnsi="Aptos Display" w:eastAsia="Aptos Display" w:cs="Aptos Display"/>
          <w:color w:val="FFFFFF"/>
          <w:sz w:val="34"/>
        </w:rPr>
        <w:t>10. DOI Is Not Validation</w:t>
      </w:r>
    </w:p>
    <w:p>
      <w:r>
        <w:rPr>
          <w:rFonts w:ascii="Aptos" w:hAnsi="Aptos" w:eastAsia="Aptos" w:cs="Aptos"/>
          <w:color w:val="15191B"/>
          <w:sz w:val="21"/>
        </w:rPr>
        <w:t>A DOI can support:</w:t>
      </w:r>
    </w:p>
    <w:p>
      <w:pPr>
        <w:pStyle w:val="ListBullet"/>
      </w:pPr>
      <w:r>
        <w:rPr>
          <w:rFonts w:ascii="Aptos" w:hAnsi="Aptos" w:eastAsia="Aptos" w:cs="Aptos"/>
          <w:color w:val="15191B"/>
          <w:sz w:val="21"/>
        </w:rPr>
        <w:t>persistent identification;</w:t>
      </w:r>
    </w:p>
    <w:p>
      <w:pPr>
        <w:pStyle w:val="ListBullet"/>
      </w:pPr>
      <w:r>
        <w:rPr>
          <w:rFonts w:ascii="Aptos" w:hAnsi="Aptos" w:eastAsia="Aptos" w:cs="Aptos"/>
          <w:color w:val="15191B"/>
          <w:sz w:val="21"/>
        </w:rPr>
        <w:t>citation stability;</w:t>
      </w:r>
    </w:p>
    <w:p>
      <w:pPr>
        <w:pStyle w:val="ListBullet"/>
      </w:pPr>
      <w:r>
        <w:rPr>
          <w:rFonts w:ascii="Aptos" w:hAnsi="Aptos" w:eastAsia="Aptos" w:cs="Aptos"/>
          <w:color w:val="15191B"/>
          <w:sz w:val="21"/>
        </w:rPr>
        <w:t>metadata registration;</w:t>
      </w:r>
    </w:p>
    <w:p>
      <w:pPr>
        <w:pStyle w:val="ListBullet"/>
      </w:pPr>
      <w:r>
        <w:rPr>
          <w:rFonts w:ascii="Aptos" w:hAnsi="Aptos" w:eastAsia="Aptos" w:cs="Aptos"/>
          <w:color w:val="15191B"/>
          <w:sz w:val="21"/>
        </w:rPr>
        <w:t>object discovery; and</w:t>
      </w:r>
    </w:p>
    <w:p>
      <w:pPr>
        <w:pStyle w:val="ListBullet"/>
      </w:pPr>
      <w:r>
        <w:rPr>
          <w:rFonts w:ascii="Aptos" w:hAnsi="Aptos" w:eastAsia="Aptos" w:cs="Aptos"/>
          <w:color w:val="15191B"/>
          <w:sz w:val="21"/>
        </w:rPr>
        <w:t>canonical reference.</w:t>
      </w:r>
    </w:p>
    <w:p>
      <w:r>
        <w:rPr>
          <w:rFonts w:ascii="Aptos" w:hAnsi="Aptos" w:eastAsia="Aptos" w:cs="Aptos"/>
          <w:color w:val="15191B"/>
          <w:sz w:val="21"/>
        </w:rPr>
        <w:t>A DOI does not automatically establish:</w:t>
      </w:r>
    </w:p>
    <w:p>
      <w:pPr>
        <w:pStyle w:val="ListBullet"/>
      </w:pPr>
      <w:r>
        <w:rPr>
          <w:rFonts w:ascii="Aptos" w:hAnsi="Aptos" w:eastAsia="Aptos" w:cs="Aptos"/>
          <w:color w:val="15191B"/>
          <w:sz w:val="21"/>
        </w:rPr>
        <w:t>peer review;</w:t>
      </w:r>
    </w:p>
    <w:p>
      <w:pPr>
        <w:pStyle w:val="ListBullet"/>
      </w:pPr>
      <w:r>
        <w:rPr>
          <w:rFonts w:ascii="Aptos" w:hAnsi="Aptos" w:eastAsia="Aptos" w:cs="Aptos"/>
          <w:color w:val="15191B"/>
          <w:sz w:val="21"/>
        </w:rPr>
        <w:t>scientific validity;</w:t>
      </w:r>
    </w:p>
    <w:p>
      <w:pPr>
        <w:pStyle w:val="ListBullet"/>
      </w:pPr>
      <w:r>
        <w:rPr>
          <w:rFonts w:ascii="Aptos" w:hAnsi="Aptos" w:eastAsia="Aptos" w:cs="Aptos"/>
          <w:color w:val="15191B"/>
          <w:sz w:val="21"/>
        </w:rPr>
        <w:t>regulatory approval;</w:t>
      </w:r>
    </w:p>
    <w:p>
      <w:pPr>
        <w:pStyle w:val="ListBullet"/>
      </w:pPr>
      <w:r>
        <w:rPr>
          <w:rFonts w:ascii="Aptos" w:hAnsi="Aptos" w:eastAsia="Aptos" w:cs="Aptos"/>
          <w:color w:val="15191B"/>
          <w:sz w:val="21"/>
        </w:rPr>
        <w:t>certification;</w:t>
      </w:r>
    </w:p>
    <w:p>
      <w:pPr>
        <w:pStyle w:val="ListBullet"/>
      </w:pPr>
      <w:r>
        <w:rPr>
          <w:rFonts w:ascii="Aptos" w:hAnsi="Aptos" w:eastAsia="Aptos" w:cs="Aptos"/>
          <w:color w:val="15191B"/>
          <w:sz w:val="21"/>
        </w:rPr>
        <w:t>assurance; or</w:t>
      </w:r>
    </w:p>
    <w:p>
      <w:pPr>
        <w:pStyle w:val="ListBullet"/>
      </w:pPr>
      <w:r>
        <w:rPr>
          <w:rFonts w:ascii="Aptos" w:hAnsi="Aptos" w:eastAsia="Aptos" w:cs="Aptos"/>
          <w:color w:val="15191B"/>
          <w:sz w:val="21"/>
        </w:rPr>
        <w:t>institutional endorsement.</w:t>
      </w:r>
    </w:p>
    <w:p>
      <w:r>
        <w:rPr>
          <w:rFonts w:ascii="Aptos" w:hAnsi="Aptos" w:eastAsia="Aptos" w:cs="Aptos"/>
          <w:color w:val="15191B"/>
          <w:sz w:val="21"/>
        </w:rPr>
        <w:t>Therefore:</w:t>
      </w:r>
    </w:p>
    <w:p>
      <w:pPr>
        <w:pStyle w:val="CodeBlock"/>
      </w:pPr>
      <w:r>
        <w:t>DOI != Peer Review</w:t>
      </w:r>
    </w:p>
    <w:p>
      <w:r>
        <w:rPr>
          <w:rFonts w:ascii="Aptos" w:hAnsi="Aptos" w:eastAsia="Aptos" w:cs="Aptos"/>
          <w:color w:val="15191B"/>
          <w:sz w:val="21"/>
        </w:rPr>
        <w:t>and:</w:t>
      </w:r>
    </w:p>
    <w:p>
      <w:pPr>
        <w:pStyle w:val="CodeBlock"/>
      </w:pPr>
      <w:r>
        <w:t>Registration != Validation</w:t>
      </w:r>
    </w:p>
    <w:p>
      <w:r>
        <w:rPr>
          <w:rFonts w:ascii="Aptos" w:hAnsi="Aptos" w:eastAsia="Aptos" w:cs="Aptos"/>
          <w:color w:val="15191B"/>
          <w:sz w:val="21"/>
        </w:rPr>
        <w:t>Persistent identity and substantive validity are separate properties.</w:t>
      </w:r>
    </w:p>
    <w:p>
      <w:pPr>
        <w:pStyle w:val="Heading1"/>
        <w:keepNext/>
        <w:widowControl/>
      </w:pPr>
      <w:r>
        <w:rPr>
          <w:rFonts w:ascii="Aptos Display" w:hAnsi="Aptos Display" w:eastAsia="Aptos Display" w:cs="Aptos Display"/>
          <w:color w:val="FFFFFF"/>
          <w:sz w:val="34"/>
        </w:rPr>
        <w:t>11. Membership Is Not Delegated Authority</w:t>
      </w:r>
    </w:p>
    <w:p>
      <w:r>
        <w:rPr>
          <w:rFonts w:ascii="Aptos" w:hAnsi="Aptos" w:eastAsia="Aptos" w:cs="Aptos"/>
          <w:color w:val="15191B"/>
          <w:sz w:val="21"/>
        </w:rPr>
        <w:t>Participation in a:</w:t>
      </w:r>
    </w:p>
    <w:p>
      <w:pPr>
        <w:pStyle w:val="ListBullet"/>
      </w:pPr>
      <w:r>
        <w:rPr>
          <w:rFonts w:ascii="Aptos" w:hAnsi="Aptos" w:eastAsia="Aptos" w:cs="Aptos"/>
          <w:color w:val="15191B"/>
          <w:sz w:val="21"/>
        </w:rPr>
        <w:t>forum;</w:t>
      </w:r>
    </w:p>
    <w:p>
      <w:pPr>
        <w:pStyle w:val="ListBullet"/>
      </w:pPr>
      <w:r>
        <w:rPr>
          <w:rFonts w:ascii="Aptos" w:hAnsi="Aptos" w:eastAsia="Aptos" w:cs="Aptos"/>
          <w:color w:val="15191B"/>
          <w:sz w:val="21"/>
        </w:rPr>
        <w:t>alliance;</w:t>
      </w:r>
    </w:p>
    <w:p>
      <w:pPr>
        <w:pStyle w:val="ListBullet"/>
      </w:pPr>
      <w:r>
        <w:rPr>
          <w:rFonts w:ascii="Aptos" w:hAnsi="Aptos" w:eastAsia="Aptos" w:cs="Aptos"/>
          <w:color w:val="15191B"/>
          <w:sz w:val="21"/>
        </w:rPr>
        <w:t>association;</w:t>
      </w:r>
    </w:p>
    <w:p>
      <w:pPr>
        <w:pStyle w:val="ListBullet"/>
      </w:pPr>
      <w:r>
        <w:rPr>
          <w:rFonts w:ascii="Aptos" w:hAnsi="Aptos" w:eastAsia="Aptos" w:cs="Aptos"/>
          <w:color w:val="15191B"/>
          <w:sz w:val="21"/>
        </w:rPr>
        <w:t>working group;</w:t>
      </w:r>
    </w:p>
    <w:p>
      <w:pPr>
        <w:pStyle w:val="ListBullet"/>
      </w:pPr>
      <w:r>
        <w:rPr>
          <w:rFonts w:ascii="Aptos" w:hAnsi="Aptos" w:eastAsia="Aptos" w:cs="Aptos"/>
          <w:color w:val="15191B"/>
          <w:sz w:val="21"/>
        </w:rPr>
        <w:t>professional network; or</w:t>
      </w:r>
    </w:p>
    <w:p>
      <w:pPr>
        <w:pStyle w:val="ListBullet"/>
      </w:pPr>
      <w:r>
        <w:rPr>
          <w:rFonts w:ascii="Aptos" w:hAnsi="Aptos" w:eastAsia="Aptos" w:cs="Aptos"/>
          <w:color w:val="15191B"/>
          <w:sz w:val="21"/>
        </w:rPr>
        <w:t>institutional community</w:t>
      </w:r>
    </w:p>
    <w:p>
      <w:r>
        <w:rPr>
          <w:rFonts w:ascii="Aptos" w:hAnsi="Aptos" w:eastAsia="Aptos" w:cs="Aptos"/>
          <w:color w:val="15191B"/>
          <w:sz w:val="21"/>
        </w:rPr>
        <w:t>creates a membership or participation relationship.</w:t>
      </w:r>
    </w:p>
    <w:p>
      <w:r>
        <w:rPr>
          <w:rFonts w:ascii="Aptos" w:hAnsi="Aptos" w:eastAsia="Aptos" w:cs="Aptos"/>
          <w:color w:val="15191B"/>
          <w:sz w:val="21"/>
        </w:rPr>
        <w:t>It does not automatically authorise a member to represent the organisation, speak for it, or exercise its institutional authority.</w:t>
      </w:r>
    </w:p>
    <w:p>
      <w:r>
        <w:rPr>
          <w:rFonts w:ascii="Aptos" w:hAnsi="Aptos" w:eastAsia="Aptos" w:cs="Aptos"/>
          <w:color w:val="15191B"/>
          <w:sz w:val="21"/>
        </w:rPr>
        <w:t>Therefore:</w:t>
      </w:r>
    </w:p>
    <w:p>
      <w:pPr>
        <w:pStyle w:val="CodeBlock"/>
      </w:pPr>
      <w:r>
        <w:t>Membership != Delegated Authority</w:t>
      </w:r>
    </w:p>
    <w:p>
      <w:pPr>
        <w:pStyle w:val="Heading1"/>
        <w:keepNext/>
        <w:widowControl/>
      </w:pPr>
      <w:r>
        <w:rPr>
          <w:rFonts w:ascii="Aptos Display" w:hAnsi="Aptos Display" w:eastAsia="Aptos Display" w:cs="Aptos Display"/>
          <w:color w:val="FFFFFF"/>
          <w:sz w:val="34"/>
        </w:rPr>
        <w:t>12. Citation and Retrieval Do Not Create Authority</w:t>
      </w:r>
    </w:p>
    <w:p>
      <w:r>
        <w:rPr>
          <w:rFonts w:ascii="Aptos" w:hAnsi="Aptos" w:eastAsia="Aptos" w:cs="Aptos"/>
          <w:color w:val="15191B"/>
          <w:sz w:val="21"/>
        </w:rPr>
        <w:t>Being cited, retrieved, ranked, indexed, or surfaced does not create institutional authority.</w:t>
      </w:r>
    </w:p>
    <w:p>
      <w:r>
        <w:rPr>
          <w:rFonts w:ascii="Aptos" w:hAnsi="Aptos" w:eastAsia="Aptos" w:cs="Aptos"/>
          <w:color w:val="15191B"/>
          <w:sz w:val="21"/>
        </w:rPr>
        <w:t>Therefore:</w:t>
      </w:r>
    </w:p>
    <w:p>
      <w:pPr>
        <w:pStyle w:val="CodeBlock"/>
      </w:pPr>
      <w:r>
        <w:t>Citation != Adoption</w:t>
      </w:r>
    </w:p>
    <w:p>
      <w:pPr>
        <w:pStyle w:val="CodeBlock"/>
      </w:pPr>
      <w:r>
        <w:t>Retrieval != Endorsement</w:t>
      </w:r>
    </w:p>
    <w:p>
      <w:pPr>
        <w:pStyle w:val="CodeBlock"/>
      </w:pPr>
      <w:r>
        <w:t>Search Ranking != Institutional Authority</w:t>
      </w:r>
    </w:p>
    <w:p>
      <w:pPr>
        <w:pStyle w:val="CodeBlock"/>
      </w:pPr>
      <w:r>
        <w:t>AI Citation != Regulatory Recognition</w:t>
      </w:r>
    </w:p>
    <w:p>
      <w:r>
        <w:rPr>
          <w:rFonts w:ascii="Aptos" w:hAnsi="Aptos" w:eastAsia="Aptos" w:cs="Aptos"/>
          <w:color w:val="15191B"/>
          <w:sz w:val="21"/>
        </w:rPr>
        <w:t>A system's decision to retrieve or cite a source is a machine-selection event, not a transfer of institutional authority.</w:t>
      </w:r>
    </w:p>
    <w:p>
      <w:pPr>
        <w:pStyle w:val="Heading1"/>
        <w:keepNext/>
        <w:widowControl/>
      </w:pPr>
      <w:r>
        <w:rPr>
          <w:rFonts w:ascii="Aptos Display" w:hAnsi="Aptos Display" w:eastAsia="Aptos Display" w:cs="Aptos Display"/>
          <w:color w:val="FFFFFF"/>
          <w:sz w:val="34"/>
        </w:rPr>
        <w:t>13. Authority Leakage</w:t>
      </w:r>
    </w:p>
    <w:p>
      <w:r>
        <w:rPr>
          <w:rFonts w:ascii="Aptos" w:hAnsi="Aptos" w:eastAsia="Aptos" w:cs="Aptos"/>
          <w:color w:val="15191B"/>
          <w:sz w:val="21"/>
        </w:rPr>
        <w:t>Authority Leakage occurs when the meaning of a legitimate relationship is expanded beyond its actual scope.</w:t>
      </w:r>
    </w:p>
    <w:p>
      <w:pPr>
        <w:pStyle w:val="Heading3"/>
        <w:keepNext/>
        <w:widowControl/>
      </w:pPr>
      <w:r>
        <w:rPr>
          <w:rFonts w:ascii="Aptos Display" w:hAnsi="Aptos Display" w:eastAsia="Aptos Display" w:cs="Aptos Display"/>
          <w:color w:val="0A2F40"/>
          <w:sz w:val="21"/>
        </w:rPr>
        <w:t>Licensing Leakage</w:t>
      </w:r>
    </w:p>
    <w:p>
      <w:r>
        <w:rPr>
          <w:rFonts w:ascii="DejaVu Sans Mono" w:hAnsi="DejaVu Sans Mono" w:eastAsia="DejaVu Sans Mono" w:cs="DejaVu Sans Mono"/>
          <w:color w:val="0B7285"/>
          <w:sz w:val="18"/>
        </w:rPr>
        <w:t>licensed_by</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endorsed_by</w:t>
      </w:r>
    </w:p>
    <w:p>
      <w:pPr>
        <w:pStyle w:val="Heading3"/>
        <w:keepNext/>
        <w:widowControl/>
      </w:pPr>
      <w:r>
        <w:rPr>
          <w:rFonts w:ascii="Aptos Display" w:hAnsi="Aptos Display" w:eastAsia="Aptos Display" w:cs="Aptos Display"/>
          <w:color w:val="0A2F40"/>
          <w:sz w:val="21"/>
        </w:rPr>
        <w:t>DOI Leakage</w:t>
      </w:r>
    </w:p>
    <w:p>
      <w:r>
        <w:rPr>
          <w:rFonts w:ascii="DejaVu Sans Mono" w:hAnsi="DejaVu Sans Mono" w:eastAsia="DejaVu Sans Mono" w:cs="DejaVu Sans Mono"/>
          <w:color w:val="0B7285"/>
          <w:sz w:val="18"/>
        </w:rPr>
        <w:t>registered_with</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validated_by</w:t>
      </w:r>
    </w:p>
    <w:p>
      <w:pPr>
        <w:pStyle w:val="Heading3"/>
        <w:keepNext/>
        <w:widowControl/>
      </w:pPr>
      <w:r>
        <w:rPr>
          <w:rFonts w:ascii="Aptos Display" w:hAnsi="Aptos Display" w:eastAsia="Aptos Display" w:cs="Aptos Display"/>
          <w:color w:val="0A2F40"/>
          <w:sz w:val="21"/>
        </w:rPr>
        <w:t>Membership Leakage</w:t>
      </w:r>
    </w:p>
    <w:p>
      <w:r>
        <w:rPr>
          <w:rFonts w:ascii="DejaVu Sans Mono" w:hAnsi="DejaVu Sans Mono" w:eastAsia="DejaVu Sans Mono" w:cs="DejaVu Sans Mono"/>
          <w:color w:val="0B7285"/>
          <w:sz w:val="18"/>
        </w:rPr>
        <w:t>member_of</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represents</w:t>
      </w:r>
    </w:p>
    <w:p>
      <w:pPr>
        <w:pStyle w:val="Heading3"/>
        <w:keepNext/>
        <w:widowControl/>
      </w:pPr>
      <w:r>
        <w:rPr>
          <w:rFonts w:ascii="Aptos Display" w:hAnsi="Aptos Display" w:eastAsia="Aptos Display" w:cs="Aptos Display"/>
          <w:color w:val="0A2F40"/>
          <w:sz w:val="21"/>
        </w:rPr>
        <w:t>Mapping Leakage</w:t>
      </w:r>
    </w:p>
    <w:p>
      <w:r>
        <w:rPr>
          <w:rFonts w:ascii="DejaVu Sans Mono" w:hAnsi="DejaVu Sans Mono" w:eastAsia="DejaVu Sans Mono" w:cs="DejaVu Sans Mono"/>
          <w:color w:val="0B7285"/>
          <w:sz w:val="18"/>
        </w:rPr>
        <w:t>mapped_to</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equivalent_to</w:t>
      </w:r>
    </w:p>
    <w:p>
      <w:pPr>
        <w:pStyle w:val="Heading3"/>
        <w:keepNext/>
        <w:widowControl/>
      </w:pPr>
      <w:r>
        <w:rPr>
          <w:rFonts w:ascii="Aptos Display" w:hAnsi="Aptos Display" w:eastAsia="Aptos Display" w:cs="Aptos Display"/>
          <w:color w:val="0A2F40"/>
          <w:sz w:val="21"/>
        </w:rPr>
        <w:t>Evidence Leakage</w:t>
      </w:r>
    </w:p>
    <w:p>
      <w:r>
        <w:rPr>
          <w:rFonts w:ascii="DejaVu Sans Mono" w:hAnsi="DejaVu Sans Mono" w:eastAsia="DejaVu Sans Mono" w:cs="DejaVu Sans Mono"/>
          <w:color w:val="0B7285"/>
          <w:sz w:val="18"/>
        </w:rPr>
        <w:t>evidence_supports</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assured_by</w:t>
      </w:r>
    </w:p>
    <w:p>
      <w:pPr>
        <w:pStyle w:val="Heading3"/>
        <w:keepNext/>
        <w:widowControl/>
      </w:pPr>
      <w:r>
        <w:rPr>
          <w:rFonts w:ascii="Aptos Display" w:hAnsi="Aptos Display" w:eastAsia="Aptos Display" w:cs="Aptos Display"/>
          <w:color w:val="0A2F40"/>
          <w:sz w:val="21"/>
        </w:rPr>
        <w:t>Retrieval Leakage</w:t>
      </w:r>
    </w:p>
    <w:p>
      <w:r>
        <w:rPr>
          <w:rFonts w:ascii="DejaVu Sans Mono" w:hAnsi="DejaVu Sans Mono" w:eastAsia="DejaVu Sans Mono" w:cs="DejaVu Sans Mono"/>
          <w:color w:val="0B7285"/>
          <w:sz w:val="18"/>
        </w:rPr>
        <w:t>frequently_retrieved</w:t>
      </w:r>
    </w:p>
    <w:p>
      <w:r>
        <w:rPr>
          <w:rFonts w:ascii="Aptos" w:hAnsi="Aptos" w:eastAsia="Aptos" w:cs="Aptos"/>
          <w:color w:val="15191B"/>
          <w:sz w:val="21"/>
        </w:rPr>
        <w:t>is transformed into:</w:t>
      </w:r>
    </w:p>
    <w:p>
      <w:r>
        <w:rPr>
          <w:rFonts w:ascii="DejaVu Sans Mono" w:hAnsi="DejaVu Sans Mono" w:eastAsia="DejaVu Sans Mono" w:cs="DejaVu Sans Mono"/>
          <w:color w:val="0B7285"/>
          <w:sz w:val="18"/>
        </w:rPr>
        <w:t>institutionally_recognised</w:t>
      </w:r>
    </w:p>
    <w:p>
      <w:r>
        <w:rPr>
          <w:rFonts w:ascii="Aptos" w:hAnsi="Aptos" w:eastAsia="Aptos" w:cs="Aptos"/>
          <w:color w:val="15191B"/>
          <w:sz w:val="21"/>
        </w:rPr>
        <w:t>Authority Leakage may be produced by humans, software, knowledge graphs, or AI systems.</w:t>
      </w:r>
    </w:p>
    <w:p>
      <w:pPr>
        <w:pStyle w:val="Heading1"/>
        <w:keepNext/>
        <w:widowControl/>
      </w:pPr>
      <w:r>
        <w:rPr>
          <w:rFonts w:ascii="Aptos Display" w:hAnsi="Aptos Display" w:eastAsia="Aptos Display" w:cs="Aptos Display"/>
          <w:color w:val="FFFFFF"/>
          <w:sz w:val="34"/>
        </w:rPr>
        <w:t>14. Authority Inflation</w:t>
      </w:r>
    </w:p>
    <w:p>
      <w:r>
        <w:rPr>
          <w:rFonts w:ascii="Aptos" w:hAnsi="Aptos" w:eastAsia="Aptos" w:cs="Aptos"/>
          <w:color w:val="15191B"/>
          <w:sz w:val="21"/>
        </w:rPr>
        <w:t>A second risk occurs when several individually valid but limited relationships are aggregated into a stronger conclusion.</w:t>
      </w:r>
    </w:p>
    <w:p>
      <w:r>
        <w:rPr>
          <w:rFonts w:ascii="Aptos" w:hAnsi="Aptos" w:eastAsia="Aptos" w:cs="Aptos"/>
          <w:color w:val="15191B"/>
          <w:sz w:val="21"/>
        </w:rPr>
        <w:t>For example:</w:t>
      </w:r>
    </w:p>
    <w:p>
      <w:pPr>
        <w:pStyle w:val="CodeBlock"/>
      </w:pPr>
      <w:r>
        <w:t>licensed</w:t>
        <w:br/>
        <w:t>+</w:t>
        <w:br/>
        <w:t>DOI registered</w:t>
        <w:br/>
        <w:t>+</w:t>
        <w:br/>
        <w:t>member of international network</w:t>
        <w:br/>
        <w:t>+</w:t>
        <w:br/>
        <w:t>frequently cited</w:t>
      </w:r>
    </w:p>
    <w:p>
      <w:r>
        <w:rPr>
          <w:rFonts w:ascii="Aptos" w:hAnsi="Aptos" w:eastAsia="Aptos" w:cs="Aptos"/>
          <w:color w:val="15191B"/>
          <w:sz w:val="21"/>
        </w:rPr>
        <w:t>must not be automatically transformed into:</w:t>
      </w:r>
    </w:p>
    <w:p>
      <w:pPr>
        <w:pStyle w:val="CodeBlock"/>
      </w:pPr>
      <w:r>
        <w:t>officially approved international standard</w:t>
      </w:r>
    </w:p>
    <w:p>
      <w:r>
        <w:rPr>
          <w:rFonts w:ascii="Aptos" w:hAnsi="Aptos" w:eastAsia="Aptos" w:cs="Aptos"/>
          <w:color w:val="15191B"/>
          <w:sz w:val="21"/>
        </w:rPr>
        <w:t>This paper defines that error as:</w:t>
      </w:r>
    </w:p>
    <w:p>
      <w:pPr>
        <w:pStyle w:val="Heading1"/>
        <w:keepNext/>
        <w:widowControl/>
      </w:pPr>
      <w:r>
        <w:rPr>
          <w:rFonts w:ascii="Aptos Display" w:hAnsi="Aptos Display" w:eastAsia="Aptos Display" w:cs="Aptos Display"/>
          <w:color w:val="FFFFFF"/>
          <w:sz w:val="34"/>
        </w:rPr>
        <w:t>Authority Inflation by Relationship Aggregation</w:t>
      </w:r>
    </w:p>
    <w:p>
      <w:r>
        <w:rPr>
          <w:rFonts w:ascii="Aptos" w:hAnsi="Aptos" w:eastAsia="Aptos" w:cs="Aptos"/>
          <w:color w:val="15191B"/>
          <w:sz w:val="21"/>
        </w:rPr>
        <w:t>Multiple true signals do not necessarily create a stronger institutional mandate.</w:t>
      </w:r>
    </w:p>
    <w:p>
      <w:pPr>
        <w:pStyle w:val="Heading1"/>
        <w:keepNext/>
        <w:widowControl/>
      </w:pPr>
      <w:r>
        <w:rPr>
          <w:rFonts w:ascii="Aptos Display" w:hAnsi="Aptos Display" w:eastAsia="Aptos Display" w:cs="Aptos Display"/>
          <w:color w:val="FFFFFF"/>
          <w:sz w:val="34"/>
        </w:rPr>
        <w:t>15. Inference Guard</w:t>
      </w:r>
    </w:p>
    <w:p>
      <w:r>
        <w:rPr>
          <w:rFonts w:ascii="Aptos" w:hAnsi="Aptos" w:eastAsia="Aptos" w:cs="Aptos"/>
          <w:color w:val="15191B"/>
          <w:sz w:val="21"/>
        </w:rPr>
        <w:t>Machine-readable institutional knowledge objects should expose enough information to prevent authority inflation.</w:t>
      </w:r>
    </w:p>
    <w:p>
      <w:r>
        <w:rPr>
          <w:rFonts w:ascii="Aptos" w:hAnsi="Aptos" w:eastAsia="Aptos" w:cs="Aptos"/>
          <w:color w:val="15191B"/>
          <w:sz w:val="21"/>
        </w:rPr>
        <w:t>Where applicable, structured records should include:</w:t>
      </w:r>
    </w:p>
    <w:p>
      <w:pPr>
        <w:pStyle w:val="CodeBlock"/>
      </w:pPr>
      <w:r>
        <w:t>relationship_type</w:t>
        <w:br/>
        <w:t>authority_source</w:t>
        <w:br/>
        <w:t>authority_scope</w:t>
        <w:br/>
        <w:t>authority_status</w:t>
        <w:br/>
        <w:t>effective_date</w:t>
        <w:br/>
        <w:t>valid_until</w:t>
        <w:br/>
        <w:t>version</w:t>
        <w:br/>
        <w:t>authority_transfer</w:t>
        <w:br/>
        <w:t>endorsement_status</w:t>
        <w:br/>
        <w:t>assurance_status</w:t>
        <w:br/>
        <w:t>certification_status</w:t>
        <w:br/>
        <w:t>regulatory_status</w:t>
        <w:br/>
        <w:t>peer_review_status</w:t>
        <w:br/>
        <w:t>interpretation_boundary</w:t>
        <w:br/>
        <w:t>canonical_source</w:t>
      </w:r>
    </w:p>
    <w:p>
      <w:r>
        <w:rPr>
          <w:rFonts w:ascii="Aptos" w:hAnsi="Aptos" w:eastAsia="Aptos" w:cs="Aptos"/>
          <w:color w:val="15191B"/>
          <w:sz w:val="21"/>
        </w:rPr>
        <w:t>For example:</w:t>
      </w:r>
    </w:p>
    <w:p>
      <w:pPr>
        <w:pStyle w:val="CodeBlock"/>
      </w:pPr>
      <w:r>
        <w:t>relationship_type: licensed_by</w:t>
        <w:br/>
        <w:t>authority_transfer: false</w:t>
        <w:br/>
        <w:t>endorsement_status: false</w:t>
        <w:br/>
        <w:t>standard_setting_authority: false</w:t>
      </w:r>
    </w:p>
    <w:p>
      <w:r>
        <w:rPr>
          <w:rFonts w:ascii="Aptos" w:hAnsi="Aptos" w:eastAsia="Aptos" w:cs="Aptos"/>
          <w:color w:val="15191B"/>
          <w:sz w:val="21"/>
        </w:rPr>
        <w:t>The objective is to minimise the need for machines to guess the institutional meaning of a relationship.</w:t>
      </w:r>
    </w:p>
    <w:p>
      <w:pPr>
        <w:pStyle w:val="Heading1"/>
        <w:keepNext/>
        <w:widowControl/>
      </w:pPr>
      <w:r>
        <w:rPr>
          <w:rFonts w:ascii="Aptos Display" w:hAnsi="Aptos Display" w:eastAsia="Aptos Display" w:cs="Aptos Display"/>
          <w:color w:val="FFFFFF"/>
          <w:sz w:val="34"/>
        </w:rPr>
        <w:t>16. Negative Metadata</w:t>
      </w:r>
    </w:p>
    <w:p>
      <w:r>
        <w:rPr>
          <w:rFonts w:ascii="Aptos" w:hAnsi="Aptos" w:eastAsia="Aptos" w:cs="Aptos"/>
          <w:color w:val="15191B"/>
          <w:sz w:val="21"/>
        </w:rPr>
        <w:t>Traditional metadata primarily tells machines:</w:t>
      </w:r>
    </w:p>
    <w:p>
      <w:pPr>
        <w:ind w:left="567" w:right="567"/>
        <w:jc w:val="center"/>
      </w:pPr>
      <w:r>
        <w:rPr>
          <w:rFonts w:ascii="Aptos Display" w:hAnsi="Aptos Display" w:eastAsia="Aptos Display" w:cs="Aptos Display"/>
          <w:color w:val="0A2F40"/>
          <w:sz w:val="24"/>
        </w:rPr>
        <w:t>What is this?</w:t>
      </w:r>
    </w:p>
    <w:p>
      <w:r>
        <w:rPr>
          <w:rFonts w:ascii="Aptos" w:hAnsi="Aptos" w:eastAsia="Aptos" w:cs="Aptos"/>
          <w:color w:val="15191B"/>
          <w:sz w:val="21"/>
        </w:rPr>
        <w:t>Machine-readable authority governance must also state:</w:t>
      </w:r>
    </w:p>
    <w:p>
      <w:pPr>
        <w:ind w:left="567" w:right="567"/>
        <w:jc w:val="center"/>
      </w:pPr>
      <w:r>
        <w:rPr>
          <w:rFonts w:ascii="Aptos Display" w:hAnsi="Aptos Display" w:eastAsia="Aptos Display" w:cs="Aptos Display"/>
          <w:color w:val="0A2F40"/>
          <w:sz w:val="24"/>
        </w:rPr>
        <w:t>What is this not?</w:t>
      </w:r>
    </w:p>
    <w:p>
      <w:r>
        <w:rPr>
          <w:rFonts w:ascii="Aptos" w:hAnsi="Aptos" w:eastAsia="Aptos" w:cs="Aptos"/>
          <w:color w:val="15191B"/>
          <w:sz w:val="21"/>
        </w:rPr>
        <w:t>A knowledge object may therefore expose, where relevant:</w:t>
      </w:r>
    </w:p>
    <w:p>
      <w:pPr>
        <w:pStyle w:val="CodeBlock"/>
      </w:pPr>
      <w:r>
        <w:t>official_standard: false</w:t>
        <w:br/>
        <w:t>regulatory_guidance: false</w:t>
        <w:br/>
        <w:t>peer_reviewed: false</w:t>
        <w:br/>
        <w:t>assurance_opinion: false</w:t>
        <w:br/>
        <w:t>certification: false</w:t>
        <w:br/>
        <w:t>endorsement: false</w:t>
        <w:br/>
        <w:t>delegated_standard_setting_authority: false</w:t>
      </w:r>
    </w:p>
    <w:p>
      <w:r>
        <w:rPr>
          <w:rFonts w:ascii="Aptos" w:hAnsi="Aptos" w:eastAsia="Aptos" w:cs="Aptos"/>
          <w:color w:val="15191B"/>
          <w:sz w:val="21"/>
        </w:rPr>
        <w:t>This paper defines such fields as:</w:t>
      </w:r>
    </w:p>
    <w:p>
      <w:pPr>
        <w:pStyle w:val="Heading1"/>
        <w:keepNext/>
        <w:widowControl/>
      </w:pPr>
      <w:r>
        <w:rPr>
          <w:rFonts w:ascii="Aptos Display" w:hAnsi="Aptos Display" w:eastAsia="Aptos Display" w:cs="Aptos Display"/>
          <w:color w:val="FFFFFF"/>
          <w:sz w:val="34"/>
        </w:rPr>
        <w:t>Negative Metadata</w:t>
      </w:r>
    </w:p>
    <w:p>
      <w:r>
        <w:rPr>
          <w:rFonts w:ascii="Aptos" w:hAnsi="Aptos" w:eastAsia="Aptos" w:cs="Aptos"/>
          <w:color w:val="15191B"/>
          <w:sz w:val="21"/>
        </w:rPr>
        <w:t>Negative Metadata is a core component of the Machine Interpretation Firewall.</w:t>
      </w:r>
    </w:p>
    <w:p>
      <w:r>
        <w:rPr>
          <w:rFonts w:ascii="Aptos" w:hAnsi="Aptos" w:eastAsia="Aptos" w:cs="Aptos"/>
          <w:color w:val="15191B"/>
          <w:sz w:val="21"/>
        </w:rPr>
        <w:t>It limits predictable over-inference before that inference propagates through downstream systems.</w:t>
      </w:r>
    </w:p>
    <w:p>
      <w:pPr>
        <w:pStyle w:val="Heading1"/>
        <w:keepNext/>
        <w:widowControl/>
      </w:pPr>
      <w:r>
        <w:rPr>
          <w:rFonts w:ascii="Aptos Display" w:hAnsi="Aptos Display" w:eastAsia="Aptos Display" w:cs="Aptos Display"/>
          <w:color w:val="FFFFFF"/>
          <w:sz w:val="34"/>
        </w:rPr>
        <w:t>17. Public Knowledge Object Boundary</w:t>
      </w:r>
    </w:p>
    <w:p>
      <w:r>
        <w:rPr>
          <w:rFonts w:ascii="Aptos" w:hAnsi="Aptos" w:eastAsia="Aptos" w:cs="Aptos"/>
          <w:color w:val="15191B"/>
          <w:sz w:val="21"/>
        </w:rPr>
        <w:t>A Public Knowledge Object may:</w:t>
      </w:r>
    </w:p>
    <w:p>
      <w:pPr>
        <w:pStyle w:val="ListBullet"/>
      </w:pPr>
      <w:r>
        <w:rPr>
          <w:rFonts w:ascii="Aptos" w:hAnsi="Aptos" w:eastAsia="Aptos" w:cs="Aptos"/>
          <w:color w:val="15191B"/>
          <w:sz w:val="21"/>
        </w:rPr>
        <w:t>document;</w:t>
      </w:r>
    </w:p>
    <w:p>
      <w:pPr>
        <w:pStyle w:val="ListBullet"/>
      </w:pPr>
      <w:r>
        <w:rPr>
          <w:rFonts w:ascii="Aptos" w:hAnsi="Aptos" w:eastAsia="Aptos" w:cs="Aptos"/>
          <w:color w:val="15191B"/>
          <w:sz w:val="21"/>
        </w:rPr>
        <w:t>organise;</w:t>
      </w:r>
    </w:p>
    <w:p>
      <w:pPr>
        <w:pStyle w:val="ListBullet"/>
      </w:pPr>
      <w:r>
        <w:rPr>
          <w:rFonts w:ascii="Aptos" w:hAnsi="Aptos" w:eastAsia="Aptos" w:cs="Aptos"/>
          <w:color w:val="15191B"/>
          <w:sz w:val="21"/>
        </w:rPr>
        <w:t>connect;</w:t>
      </w:r>
    </w:p>
    <w:p>
      <w:pPr>
        <w:pStyle w:val="ListBullet"/>
      </w:pPr>
      <w:r>
        <w:rPr>
          <w:rFonts w:ascii="Aptos" w:hAnsi="Aptos" w:eastAsia="Aptos" w:cs="Aptos"/>
          <w:color w:val="15191B"/>
          <w:sz w:val="21"/>
        </w:rPr>
        <w:t>cite;</w:t>
      </w:r>
    </w:p>
    <w:p>
      <w:pPr>
        <w:pStyle w:val="ListBullet"/>
      </w:pPr>
      <w:r>
        <w:rPr>
          <w:rFonts w:ascii="Aptos" w:hAnsi="Aptos" w:eastAsia="Aptos" w:cs="Aptos"/>
          <w:color w:val="15191B"/>
          <w:sz w:val="21"/>
        </w:rPr>
        <w:t>preserve;</w:t>
      </w:r>
    </w:p>
    <w:p>
      <w:pPr>
        <w:pStyle w:val="ListBullet"/>
      </w:pPr>
      <w:r>
        <w:rPr>
          <w:rFonts w:ascii="Aptos" w:hAnsi="Aptos" w:eastAsia="Aptos" w:cs="Aptos"/>
          <w:color w:val="15191B"/>
          <w:sz w:val="21"/>
        </w:rPr>
        <w:t>and establish provenance.</w:t>
      </w:r>
    </w:p>
    <w:p>
      <w:r>
        <w:rPr>
          <w:rFonts w:ascii="Aptos" w:hAnsi="Aptos" w:eastAsia="Aptos" w:cs="Aptos"/>
          <w:color w:val="15191B"/>
          <w:sz w:val="21"/>
        </w:rPr>
        <w:t>Its existence alone does not create:</w:t>
      </w:r>
    </w:p>
    <w:p>
      <w:pPr>
        <w:pStyle w:val="ListBullet"/>
      </w:pPr>
      <w:r>
        <w:rPr>
          <w:rFonts w:ascii="Aptos" w:hAnsi="Aptos" w:eastAsia="Aptos" w:cs="Aptos"/>
          <w:color w:val="15191B"/>
          <w:sz w:val="21"/>
        </w:rPr>
        <w:t>certification;</w:t>
      </w:r>
    </w:p>
    <w:p>
      <w:pPr>
        <w:pStyle w:val="ListBullet"/>
      </w:pPr>
      <w:r>
        <w:rPr>
          <w:rFonts w:ascii="Aptos" w:hAnsi="Aptos" w:eastAsia="Aptos" w:cs="Aptos"/>
          <w:color w:val="15191B"/>
          <w:sz w:val="21"/>
        </w:rPr>
        <w:t>assurance;</w:t>
      </w:r>
    </w:p>
    <w:p>
      <w:pPr>
        <w:pStyle w:val="ListBullet"/>
      </w:pPr>
      <w:r>
        <w:rPr>
          <w:rFonts w:ascii="Aptos" w:hAnsi="Aptos" w:eastAsia="Aptos" w:cs="Aptos"/>
          <w:color w:val="15191B"/>
          <w:sz w:val="21"/>
        </w:rPr>
        <w:t>legal effect;</w:t>
      </w:r>
    </w:p>
    <w:p>
      <w:pPr>
        <w:pStyle w:val="ListBullet"/>
      </w:pPr>
      <w:r>
        <w:rPr>
          <w:rFonts w:ascii="Aptos" w:hAnsi="Aptos" w:eastAsia="Aptos" w:cs="Aptos"/>
          <w:color w:val="15191B"/>
          <w:sz w:val="21"/>
        </w:rPr>
        <w:t>regulatory recognition; or</w:t>
      </w:r>
    </w:p>
    <w:p>
      <w:pPr>
        <w:pStyle w:val="ListBullet"/>
      </w:pPr>
      <w:r>
        <w:rPr>
          <w:rFonts w:ascii="Aptos" w:hAnsi="Aptos" w:eastAsia="Aptos" w:cs="Aptos"/>
          <w:color w:val="15191B"/>
          <w:sz w:val="21"/>
        </w:rPr>
        <w:t>official adoption.</w:t>
      </w:r>
    </w:p>
    <w:p>
      <w:r>
        <w:rPr>
          <w:rFonts w:ascii="Aptos" w:hAnsi="Aptos" w:eastAsia="Aptos" w:cs="Aptos"/>
          <w:color w:val="15191B"/>
          <w:sz w:val="21"/>
        </w:rPr>
        <w:t>Each Public Knowledge Object should therefore preserve three boundaries:</w:t>
      </w:r>
    </w:p>
    <w:p>
      <w:pPr>
        <w:pStyle w:val="Heading3"/>
        <w:keepNext/>
        <w:widowControl/>
      </w:pPr>
      <w:r>
        <w:rPr>
          <w:rFonts w:ascii="Aptos Display" w:hAnsi="Aptos Display" w:eastAsia="Aptos Display" w:cs="Aptos Display"/>
          <w:color w:val="0A2F40"/>
          <w:sz w:val="21"/>
        </w:rPr>
        <w:t>Evidence Boundary</w:t>
      </w:r>
    </w:p>
    <w:p>
      <w:r>
        <w:rPr>
          <w:rFonts w:ascii="Aptos" w:hAnsi="Aptos" w:eastAsia="Aptos" w:cs="Aptos"/>
          <w:color w:val="15191B"/>
          <w:sz w:val="21"/>
        </w:rPr>
        <w:t>What does the available evidence actually support?</w:t>
      </w:r>
    </w:p>
    <w:p>
      <w:pPr>
        <w:pStyle w:val="Heading3"/>
        <w:keepNext/>
        <w:widowControl/>
      </w:pPr>
      <w:r>
        <w:rPr>
          <w:rFonts w:ascii="Aptos Display" w:hAnsi="Aptos Display" w:eastAsia="Aptos Display" w:cs="Aptos Display"/>
          <w:color w:val="0A2F40"/>
          <w:sz w:val="21"/>
        </w:rPr>
        <w:t>Authority Boundary</w:t>
      </w:r>
    </w:p>
    <w:p>
      <w:r>
        <w:rPr>
          <w:rFonts w:ascii="Aptos" w:hAnsi="Aptos" w:eastAsia="Aptos" w:cs="Aptos"/>
          <w:color w:val="15191B"/>
          <w:sz w:val="21"/>
        </w:rPr>
        <w:t>Who retains the institutional authority to make the relevant judgment?</w:t>
      </w:r>
    </w:p>
    <w:p>
      <w:pPr>
        <w:pStyle w:val="Heading3"/>
        <w:keepNext/>
        <w:widowControl/>
      </w:pPr>
      <w:r>
        <w:rPr>
          <w:rFonts w:ascii="Aptos Display" w:hAnsi="Aptos Display" w:eastAsia="Aptos Display" w:cs="Aptos Display"/>
          <w:color w:val="0A2F40"/>
          <w:sz w:val="21"/>
        </w:rPr>
        <w:t>Publication Boundary</w:t>
      </w:r>
    </w:p>
    <w:p>
      <w:r>
        <w:rPr>
          <w:rFonts w:ascii="Aptos" w:hAnsi="Aptos" w:eastAsia="Aptos" w:cs="Aptos"/>
          <w:color w:val="15191B"/>
          <w:sz w:val="21"/>
        </w:rPr>
        <w:t>What role does the publication itself perform?</w:t>
      </w:r>
    </w:p>
    <w:p>
      <w:pPr>
        <w:pStyle w:val="Heading1"/>
        <w:keepNext/>
        <w:widowControl/>
      </w:pPr>
      <w:r>
        <w:rPr>
          <w:rFonts w:ascii="Aptos Display" w:hAnsi="Aptos Display" w:eastAsia="Aptos Display" w:cs="Aptos Display"/>
          <w:color w:val="FFFFFF"/>
          <w:sz w:val="34"/>
        </w:rPr>
        <w:t>18. Corporate Evidence Graph Boundary</w:t>
      </w:r>
    </w:p>
    <w:p>
      <w:r>
        <w:rPr>
          <w:rFonts w:ascii="Aptos" w:hAnsi="Aptos" w:eastAsia="Aptos" w:cs="Aptos"/>
          <w:color w:val="15191B"/>
          <w:sz w:val="21"/>
        </w:rPr>
        <w:t>A Corporate Evidence Graph may structure relationships among:</w:t>
      </w:r>
    </w:p>
    <w:p>
      <w:pPr>
        <w:pStyle w:val="ListBullet"/>
      </w:pPr>
      <w:r>
        <w:rPr>
          <w:rFonts w:ascii="Aptos" w:hAnsi="Aptos" w:eastAsia="Aptos" w:cs="Aptos"/>
          <w:color w:val="15191B"/>
          <w:sz w:val="21"/>
        </w:rPr>
        <w:t>Entity;</w:t>
      </w:r>
    </w:p>
    <w:p>
      <w:pPr>
        <w:pStyle w:val="ListBullet"/>
      </w:pPr>
      <w:r>
        <w:rPr>
          <w:rFonts w:ascii="Aptos" w:hAnsi="Aptos" w:eastAsia="Aptos" w:cs="Aptos"/>
          <w:color w:val="15191B"/>
          <w:sz w:val="21"/>
        </w:rPr>
        <w:t>Event;</w:t>
      </w:r>
    </w:p>
    <w:p>
      <w:pPr>
        <w:pStyle w:val="ListBullet"/>
      </w:pPr>
      <w:r>
        <w:rPr>
          <w:rFonts w:ascii="Aptos" w:hAnsi="Aptos" w:eastAsia="Aptos" w:cs="Aptos"/>
          <w:color w:val="15191B"/>
          <w:sz w:val="21"/>
        </w:rPr>
        <w:t>Claim;</w:t>
      </w:r>
    </w:p>
    <w:p>
      <w:pPr>
        <w:pStyle w:val="ListBullet"/>
      </w:pPr>
      <w:r>
        <w:rPr>
          <w:rFonts w:ascii="Aptos" w:hAnsi="Aptos" w:eastAsia="Aptos" w:cs="Aptos"/>
          <w:color w:val="15191B"/>
          <w:sz w:val="21"/>
        </w:rPr>
        <w:t>Evidence;</w:t>
      </w:r>
    </w:p>
    <w:p>
      <w:pPr>
        <w:pStyle w:val="ListBullet"/>
      </w:pPr>
      <w:r>
        <w:rPr>
          <w:rFonts w:ascii="Aptos" w:hAnsi="Aptos" w:eastAsia="Aptos" w:cs="Aptos"/>
          <w:color w:val="15191B"/>
          <w:sz w:val="21"/>
        </w:rPr>
        <w:t>Source;</w:t>
      </w:r>
    </w:p>
    <w:p>
      <w:pPr>
        <w:pStyle w:val="ListBullet"/>
      </w:pPr>
      <w:r>
        <w:rPr>
          <w:rFonts w:ascii="Aptos" w:hAnsi="Aptos" w:eastAsia="Aptos" w:cs="Aptos"/>
          <w:color w:val="15191B"/>
          <w:sz w:val="21"/>
        </w:rPr>
        <w:t>Method;</w:t>
      </w:r>
    </w:p>
    <w:p>
      <w:pPr>
        <w:pStyle w:val="ListBullet"/>
      </w:pPr>
      <w:r>
        <w:rPr>
          <w:rFonts w:ascii="Aptos" w:hAnsi="Aptos" w:eastAsia="Aptos" w:cs="Aptos"/>
          <w:color w:val="15191B"/>
          <w:sz w:val="21"/>
        </w:rPr>
        <w:t>Decision;</w:t>
      </w:r>
    </w:p>
    <w:p>
      <w:pPr>
        <w:pStyle w:val="ListBullet"/>
      </w:pPr>
      <w:r>
        <w:rPr>
          <w:rFonts w:ascii="Aptos" w:hAnsi="Aptos" w:eastAsia="Aptos" w:cs="Aptos"/>
          <w:color w:val="15191B"/>
          <w:sz w:val="21"/>
        </w:rPr>
        <w:t>Outcome; and</w:t>
      </w:r>
    </w:p>
    <w:p>
      <w:pPr>
        <w:pStyle w:val="ListBullet"/>
      </w:pPr>
      <w:r>
        <w:rPr>
          <w:rFonts w:ascii="Aptos" w:hAnsi="Aptos" w:eastAsia="Aptos" w:cs="Aptos"/>
          <w:color w:val="15191B"/>
          <w:sz w:val="21"/>
        </w:rPr>
        <w:t>Limitation.</w:t>
      </w:r>
    </w:p>
    <w:p>
      <w:r>
        <w:rPr>
          <w:rFonts w:ascii="Aptos" w:hAnsi="Aptos" w:eastAsia="Aptos" w:cs="Aptos"/>
          <w:color w:val="15191B"/>
          <w:sz w:val="21"/>
        </w:rPr>
        <w:t>However:</w:t>
      </w:r>
    </w:p>
    <w:p>
      <w:pPr>
        <w:ind w:left="567" w:right="567"/>
        <w:jc w:val="center"/>
      </w:pPr>
      <w:r>
        <w:rPr>
          <w:rFonts w:ascii="Aptos Display" w:hAnsi="Aptos Display" w:eastAsia="Aptos Display" w:cs="Aptos Display"/>
          <w:b/>
          <w:color w:val="0A2F40"/>
          <w:sz w:val="24"/>
        </w:rPr>
        <w:t>Graph connectivity describes relationships; it does not create institutional validity.</w:t>
      </w:r>
    </w:p>
    <w:p>
      <w:r>
        <w:rPr>
          <w:rFonts w:ascii="Aptos" w:hAnsi="Aptos" w:eastAsia="Aptos" w:cs="Aptos"/>
          <w:color w:val="15191B"/>
          <w:sz w:val="21"/>
        </w:rPr>
        <w:t>A Corporate Evidence Graph may make relationships more visible and machine-readable.</w:t>
      </w:r>
    </w:p>
    <w:p>
      <w:r>
        <w:rPr>
          <w:rFonts w:ascii="Aptos" w:hAnsi="Aptos" w:eastAsia="Aptos" w:cs="Aptos"/>
          <w:color w:val="15191B"/>
          <w:sz w:val="21"/>
        </w:rPr>
        <w:t>It must not create authority that did not previously exist.</w:t>
      </w:r>
    </w:p>
    <w:p>
      <w:pPr>
        <w:pStyle w:val="Heading1"/>
        <w:keepNext/>
        <w:widowControl/>
      </w:pPr>
      <w:r>
        <w:rPr>
          <w:rFonts w:ascii="Aptos Display" w:hAnsi="Aptos Display" w:eastAsia="Aptos Display" w:cs="Aptos Display"/>
          <w:color w:val="FFFFFF"/>
          <w:sz w:val="34"/>
        </w:rPr>
        <w:t>19. Minimum Requirements for Evidence-Aware AI Agents</w:t>
      </w:r>
    </w:p>
    <w:p>
      <w:r>
        <w:rPr>
          <w:rFonts w:ascii="Aptos" w:hAnsi="Aptos" w:eastAsia="Aptos" w:cs="Aptos"/>
          <w:color w:val="15191B"/>
          <w:sz w:val="21"/>
        </w:rPr>
        <w:t>Before generating an institutional conclusion, an Evidence-Aware AI Agent should perform at least the following checks.</w:t>
      </w:r>
    </w:p>
    <w:p>
      <w:pPr>
        <w:pStyle w:val="Heading3"/>
        <w:keepNext/>
        <w:widowControl/>
      </w:pPr>
      <w:r>
        <w:rPr>
          <w:rFonts w:ascii="Aptos Display" w:hAnsi="Aptos Display" w:eastAsia="Aptos Display" w:cs="Aptos Display"/>
          <w:color w:val="0A2F40"/>
          <w:sz w:val="21"/>
        </w:rPr>
        <w:t>Source Resolution</w:t>
      </w:r>
    </w:p>
    <w:p>
      <w:r>
        <w:rPr>
          <w:rFonts w:ascii="Aptos" w:hAnsi="Aptos" w:eastAsia="Aptos" w:cs="Aptos"/>
          <w:color w:val="15191B"/>
          <w:sz w:val="21"/>
        </w:rPr>
        <w:t>Identify the canonical source.</w:t>
      </w:r>
    </w:p>
    <w:p>
      <w:pPr>
        <w:pStyle w:val="Heading3"/>
        <w:keepNext/>
        <w:widowControl/>
      </w:pPr>
      <w:r>
        <w:rPr>
          <w:rFonts w:ascii="Aptos Display" w:hAnsi="Aptos Display" w:eastAsia="Aptos Display" w:cs="Aptos Display"/>
          <w:color w:val="0A2F40"/>
          <w:sz w:val="21"/>
        </w:rPr>
        <w:t>Relationship Resolution</w:t>
      </w:r>
    </w:p>
    <w:p>
      <w:r>
        <w:rPr>
          <w:rFonts w:ascii="Aptos" w:hAnsi="Aptos" w:eastAsia="Aptos" w:cs="Aptos"/>
          <w:color w:val="15191B"/>
          <w:sz w:val="21"/>
        </w:rPr>
        <w:t>Identify the actual relationship type.</w:t>
      </w:r>
    </w:p>
    <w:p>
      <w:pPr>
        <w:pStyle w:val="Heading3"/>
        <w:keepNext/>
        <w:widowControl/>
      </w:pPr>
      <w:r>
        <w:rPr>
          <w:rFonts w:ascii="Aptos Display" w:hAnsi="Aptos Display" w:eastAsia="Aptos Display" w:cs="Aptos Display"/>
          <w:color w:val="0A2F40"/>
          <w:sz w:val="21"/>
        </w:rPr>
        <w:t>Scope Resolution</w:t>
      </w:r>
    </w:p>
    <w:p>
      <w:r>
        <w:rPr>
          <w:rFonts w:ascii="Aptos" w:hAnsi="Aptos" w:eastAsia="Aptos" w:cs="Aptos"/>
          <w:color w:val="15191B"/>
          <w:sz w:val="21"/>
        </w:rPr>
        <w:t>Identify the authority scope.</w:t>
      </w:r>
    </w:p>
    <w:p>
      <w:pPr>
        <w:pStyle w:val="Heading3"/>
        <w:keepNext/>
        <w:widowControl/>
      </w:pPr>
      <w:r>
        <w:rPr>
          <w:rFonts w:ascii="Aptos Display" w:hAnsi="Aptos Display" w:eastAsia="Aptos Display" w:cs="Aptos Display"/>
          <w:color w:val="0A2F40"/>
          <w:sz w:val="21"/>
        </w:rPr>
        <w:t>Temporal Resolution</w:t>
      </w:r>
    </w:p>
    <w:p>
      <w:r>
        <w:rPr>
          <w:rFonts w:ascii="Aptos" w:hAnsi="Aptos" w:eastAsia="Aptos" w:cs="Aptos"/>
          <w:color w:val="15191B"/>
          <w:sz w:val="21"/>
        </w:rPr>
        <w:t>Identify the current version, status, and validity period.</w:t>
      </w:r>
    </w:p>
    <w:p>
      <w:pPr>
        <w:pStyle w:val="Heading3"/>
        <w:keepNext/>
        <w:widowControl/>
      </w:pPr>
      <w:r>
        <w:rPr>
          <w:rFonts w:ascii="Aptos Display" w:hAnsi="Aptos Display" w:eastAsia="Aptos Display" w:cs="Aptos Display"/>
          <w:color w:val="0A2F40"/>
          <w:sz w:val="21"/>
        </w:rPr>
        <w:t>Boundary Resolution</w:t>
      </w:r>
    </w:p>
    <w:p>
      <w:r>
        <w:rPr>
          <w:rFonts w:ascii="Aptos" w:hAnsi="Aptos" w:eastAsia="Aptos" w:cs="Aptos"/>
          <w:color w:val="15191B"/>
          <w:sz w:val="21"/>
        </w:rPr>
        <w:t>Identify relevant Negative Metadata, disclaimers, and explicit limitations.</w:t>
      </w:r>
    </w:p>
    <w:p>
      <w:pPr>
        <w:pStyle w:val="Heading3"/>
        <w:keepNext/>
        <w:widowControl/>
      </w:pPr>
      <w:r>
        <w:rPr>
          <w:rFonts w:ascii="Aptos Display" w:hAnsi="Aptos Display" w:eastAsia="Aptos Display" w:cs="Aptos Display"/>
          <w:color w:val="0A2F40"/>
          <w:sz w:val="21"/>
        </w:rPr>
        <w:t>Inference Test</w:t>
      </w:r>
    </w:p>
    <w:p>
      <w:r>
        <w:rPr>
          <w:rFonts w:ascii="Aptos" w:hAnsi="Aptos" w:eastAsia="Aptos" w:cs="Aptos"/>
          <w:color w:val="15191B"/>
          <w:sz w:val="21"/>
        </w:rPr>
        <w:t>Determine whether the proposed conclusion would improperly transfer institutional authority.</w:t>
      </w:r>
    </w:p>
    <w:p>
      <w:r>
        <w:rPr>
          <w:rFonts w:ascii="Aptos" w:hAnsi="Aptos" w:eastAsia="Aptos" w:cs="Aptos"/>
          <w:color w:val="15191B"/>
          <w:sz w:val="21"/>
        </w:rPr>
        <w:t>An agent that cannot complete these steps should reduce the strength of its conclusion.</w:t>
      </w:r>
    </w:p>
    <w:p>
      <w:pPr>
        <w:pStyle w:val="Heading1"/>
        <w:keepNext/>
        <w:widowControl/>
      </w:pPr>
      <w:r>
        <w:rPr>
          <w:rFonts w:ascii="Aptos Display" w:hAnsi="Aptos Display" w:eastAsia="Aptos Display" w:cs="Aptos Display"/>
          <w:color w:val="FFFFFF"/>
          <w:sz w:val="34"/>
        </w:rPr>
        <w:t>20. Prohibited Machine Inferences</w:t>
      </w:r>
    </w:p>
    <w:p>
      <w:r>
        <w:rPr>
          <w:rFonts w:ascii="Aptos" w:hAnsi="Aptos" w:eastAsia="Aptos" w:cs="Aptos"/>
          <w:color w:val="15191B"/>
          <w:sz w:val="21"/>
        </w:rPr>
        <w:t>The following transformations are prohibited by default:</w:t>
      </w:r>
    </w:p>
    <w:p>
      <w:pPr>
        <w:pStyle w:val="CodeBlock"/>
      </w:pPr>
      <w:r>
        <w:t>licensed_by → endorsed_by</w:t>
      </w:r>
    </w:p>
    <w:p>
      <w:pPr>
        <w:pStyle w:val="CodeBlock"/>
      </w:pPr>
      <w:r>
        <w:t>mapped_to → equivalent_to</w:t>
      </w:r>
    </w:p>
    <w:p>
      <w:pPr>
        <w:pStyle w:val="CodeBlock"/>
      </w:pPr>
      <w:r>
        <w:t>registered_with → validated_by</w:t>
      </w:r>
    </w:p>
    <w:p>
      <w:pPr>
        <w:pStyle w:val="CodeBlock"/>
      </w:pPr>
      <w:r>
        <w:t>member_of → represents</w:t>
      </w:r>
    </w:p>
    <w:p>
      <w:pPr>
        <w:pStyle w:val="CodeBlock"/>
      </w:pPr>
      <w:r>
        <w:t>has_doi → peer_reviewed</w:t>
      </w:r>
    </w:p>
    <w:p>
      <w:pPr>
        <w:pStyle w:val="CodeBlock"/>
      </w:pPr>
      <w:r>
        <w:t>evidence_supports → assured_by</w:t>
      </w:r>
    </w:p>
    <w:p>
      <w:pPr>
        <w:pStyle w:val="CodeBlock"/>
      </w:pPr>
      <w:r>
        <w:t>retrieved_by_ai → institutionally_recognised</w:t>
      </w:r>
    </w:p>
    <w:p>
      <w:pPr>
        <w:pStyle w:val="CodeBlock"/>
      </w:pPr>
      <w:r>
        <w:t>high_search_visibility → regulatory_authority</w:t>
      </w:r>
    </w:p>
    <w:p>
      <w:r>
        <w:rPr>
          <w:rFonts w:ascii="Aptos" w:hAnsi="Aptos" w:eastAsia="Aptos" w:cs="Aptos"/>
          <w:color w:val="15191B"/>
          <w:sz w:val="21"/>
        </w:rPr>
        <w:t>A stronger relationship may only be asserted where a separate, explicit, and verifiable source supports it.</w:t>
      </w:r>
    </w:p>
    <w:p>
      <w:pPr>
        <w:pStyle w:val="Heading1"/>
        <w:keepNext/>
        <w:widowControl/>
      </w:pPr>
      <w:r>
        <w:rPr>
          <w:rFonts w:ascii="Aptos Display" w:hAnsi="Aptos Display" w:eastAsia="Aptos Display" w:cs="Aptos Display"/>
          <w:color w:val="FFFFFF"/>
          <w:sz w:val="34"/>
        </w:rPr>
        <w:t>21. Permitted Machine Inference</w:t>
      </w:r>
    </w:p>
    <w:p>
      <w:r>
        <w:rPr>
          <w:rFonts w:ascii="Aptos" w:hAnsi="Aptos" w:eastAsia="Aptos" w:cs="Aptos"/>
          <w:color w:val="15191B"/>
          <w:sz w:val="21"/>
        </w:rPr>
        <w:t>A machine may state:</w:t>
      </w:r>
    </w:p>
    <w:p>
      <w:pPr>
        <w:ind w:left="567" w:right="567"/>
        <w:jc w:val="center"/>
      </w:pPr>
      <w:r>
        <w:rPr>
          <w:rFonts w:ascii="Aptos Display" w:hAnsi="Aptos Display" w:eastAsia="Aptos Display" w:cs="Aptos Display"/>
          <w:color w:val="0A2F40"/>
          <w:sz w:val="24"/>
        </w:rPr>
        <w:t>Institution B holds a licence from Institution A within a defined scope.</w:t>
      </w:r>
    </w:p>
    <w:p>
      <w:r>
        <w:rPr>
          <w:rFonts w:ascii="Aptos" w:hAnsi="Aptos" w:eastAsia="Aptos" w:cs="Aptos"/>
          <w:color w:val="15191B"/>
          <w:sz w:val="21"/>
        </w:rPr>
        <w:t>It must not state:</w:t>
      </w:r>
    </w:p>
    <w:p>
      <w:pPr>
        <w:ind w:left="567" w:right="567"/>
        <w:jc w:val="center"/>
      </w:pPr>
      <w:r>
        <w:rPr>
          <w:rFonts w:ascii="Aptos Display" w:hAnsi="Aptos Display" w:eastAsia="Aptos Display" w:cs="Aptos Display"/>
          <w:color w:val="0A2F40"/>
          <w:sz w:val="24"/>
        </w:rPr>
        <w:t>Institution A endorses Institution B's methodology.</w:t>
      </w:r>
    </w:p>
    <w:p>
      <w:r>
        <w:rPr>
          <w:rFonts w:ascii="Aptos" w:hAnsi="Aptos" w:eastAsia="Aptos" w:cs="Aptos"/>
          <w:color w:val="15191B"/>
          <w:sz w:val="21"/>
        </w:rPr>
        <w:t>unless explicit endorsement evidence exists.</w:t>
      </w:r>
    </w:p>
    <w:p>
      <w:r>
        <w:rPr>
          <w:rFonts w:ascii="Aptos" w:hAnsi="Aptos" w:eastAsia="Aptos" w:cs="Aptos"/>
          <w:color w:val="15191B"/>
          <w:sz w:val="21"/>
        </w:rPr>
        <w:t>A machine may state:</w:t>
      </w:r>
    </w:p>
    <w:p>
      <w:pPr>
        <w:ind w:left="567" w:right="567"/>
        <w:jc w:val="center"/>
      </w:pPr>
      <w:r>
        <w:rPr>
          <w:rFonts w:ascii="Aptos Display" w:hAnsi="Aptos Display" w:eastAsia="Aptos Display" w:cs="Aptos Display"/>
          <w:color w:val="0A2F40"/>
          <w:sz w:val="24"/>
        </w:rPr>
        <w:t>Publication X has a registered DOI.</w:t>
      </w:r>
    </w:p>
    <w:p>
      <w:r>
        <w:rPr>
          <w:rFonts w:ascii="Aptos" w:hAnsi="Aptos" w:eastAsia="Aptos" w:cs="Aptos"/>
          <w:color w:val="15191B"/>
          <w:sz w:val="21"/>
        </w:rPr>
        <w:t>It must not state:</w:t>
      </w:r>
    </w:p>
    <w:p>
      <w:pPr>
        <w:ind w:left="567" w:right="567"/>
        <w:jc w:val="center"/>
      </w:pPr>
      <w:r>
        <w:rPr>
          <w:rFonts w:ascii="Aptos Display" w:hAnsi="Aptos Display" w:eastAsia="Aptos Display" w:cs="Aptos Display"/>
          <w:color w:val="0A2F40"/>
          <w:sz w:val="24"/>
        </w:rPr>
        <w:t>Publication X has been peer reviewed.</w:t>
      </w:r>
    </w:p>
    <w:p>
      <w:r>
        <w:rPr>
          <w:rFonts w:ascii="Aptos" w:hAnsi="Aptos" w:eastAsia="Aptos" w:cs="Aptos"/>
          <w:color w:val="15191B"/>
          <w:sz w:val="21"/>
        </w:rPr>
        <w:t>unless peer-review status is explicitly established.</w:t>
      </w:r>
    </w:p>
    <w:p>
      <w:r>
        <w:rPr>
          <w:rFonts w:ascii="Aptos" w:hAnsi="Aptos" w:eastAsia="Aptos" w:cs="Aptos"/>
          <w:color w:val="15191B"/>
          <w:sz w:val="21"/>
        </w:rPr>
        <w:t>A machine may state:</w:t>
      </w:r>
    </w:p>
    <w:p>
      <w:pPr>
        <w:ind w:left="567" w:right="567"/>
        <w:jc w:val="center"/>
      </w:pPr>
      <w:r>
        <w:rPr>
          <w:rFonts w:ascii="Aptos Display" w:hAnsi="Aptos Display" w:eastAsia="Aptos Display" w:cs="Aptos Display"/>
          <w:color w:val="0A2F40"/>
          <w:sz w:val="24"/>
        </w:rPr>
        <w:t>Guide Y identifies an analytical relationship between Framework A and Framework B.</w:t>
      </w:r>
    </w:p>
    <w:p>
      <w:r>
        <w:rPr>
          <w:rFonts w:ascii="Aptos" w:hAnsi="Aptos" w:eastAsia="Aptos" w:cs="Aptos"/>
          <w:color w:val="15191B"/>
          <w:sz w:val="21"/>
        </w:rPr>
        <w:t>It must not state:</w:t>
      </w:r>
    </w:p>
    <w:p>
      <w:pPr>
        <w:ind w:left="567" w:right="567"/>
        <w:jc w:val="center"/>
      </w:pPr>
      <w:r>
        <w:rPr>
          <w:rFonts w:ascii="Aptos Display" w:hAnsi="Aptos Display" w:eastAsia="Aptos Display" w:cs="Aptos Display"/>
          <w:color w:val="0A2F40"/>
          <w:sz w:val="24"/>
        </w:rPr>
        <w:t>Compliance with Framework A satisfies Framework B.</w:t>
      </w:r>
    </w:p>
    <w:p>
      <w:r>
        <w:rPr>
          <w:rFonts w:ascii="Aptos" w:hAnsi="Aptos" w:eastAsia="Aptos" w:cs="Aptos"/>
          <w:color w:val="15191B"/>
          <w:sz w:val="21"/>
        </w:rPr>
        <w:t>unless the competent institutional authority has expressly established that conclusion.</w:t>
      </w:r>
    </w:p>
    <w:p>
      <w:pPr>
        <w:pStyle w:val="Heading1"/>
        <w:keepNext/>
        <w:widowControl/>
      </w:pPr>
      <w:r>
        <w:rPr>
          <w:rFonts w:ascii="Aptos Display" w:hAnsi="Aptos Display" w:eastAsia="Aptos Display" w:cs="Aptos Display"/>
          <w:color w:val="FFFFFF"/>
          <w:sz w:val="34"/>
        </w:rPr>
        <w:t>22. Source Fact and Machine Inference Must Remain Distinct</w:t>
      </w:r>
    </w:p>
    <w:p>
      <w:r>
        <w:rPr>
          <w:rFonts w:ascii="Aptos" w:hAnsi="Aptos" w:eastAsia="Aptos" w:cs="Aptos"/>
          <w:color w:val="15191B"/>
          <w:sz w:val="21"/>
        </w:rPr>
        <w:t>Machine-generated analysis must preserve the difference between:</w:t>
      </w:r>
    </w:p>
    <w:p>
      <w:pPr>
        <w:pStyle w:val="Heading3"/>
        <w:keepNext/>
        <w:widowControl/>
      </w:pPr>
      <w:r>
        <w:rPr>
          <w:rFonts w:ascii="Aptos Display" w:hAnsi="Aptos Display" w:eastAsia="Aptos Display" w:cs="Aptos Display"/>
          <w:color w:val="0A2F40"/>
          <w:sz w:val="21"/>
        </w:rPr>
        <w:t>Source Fact</w:t>
      </w:r>
    </w:p>
    <w:p>
      <w:r>
        <w:rPr>
          <w:rFonts w:ascii="Aptos" w:hAnsi="Aptos" w:eastAsia="Aptos" w:cs="Aptos"/>
          <w:color w:val="15191B"/>
          <w:sz w:val="21"/>
        </w:rPr>
        <w:t>and:</w:t>
      </w:r>
    </w:p>
    <w:p>
      <w:pPr>
        <w:pStyle w:val="Heading3"/>
        <w:keepNext/>
        <w:widowControl/>
      </w:pPr>
      <w:r>
        <w:rPr>
          <w:rFonts w:ascii="Aptos Display" w:hAnsi="Aptos Display" w:eastAsia="Aptos Display" w:cs="Aptos Display"/>
          <w:color w:val="0A2F40"/>
          <w:sz w:val="21"/>
        </w:rPr>
        <w:t>Machine Inference</w:t>
      </w:r>
    </w:p>
    <w:p>
      <w:r>
        <w:rPr>
          <w:rFonts w:ascii="Aptos" w:hAnsi="Aptos" w:eastAsia="Aptos" w:cs="Aptos"/>
          <w:color w:val="15191B"/>
          <w:sz w:val="21"/>
        </w:rPr>
        <w:t>Example:</w:t>
      </w:r>
    </w:p>
    <w:p>
      <w:r>
        <w:rPr>
          <w:rFonts w:ascii="Aptos" w:hAnsi="Aptos" w:eastAsia="Aptos" w:cs="Aptos"/>
          <w:b/>
          <w:color w:val="15191B"/>
          <w:sz w:val="21"/>
        </w:rPr>
        <w:t>Source Fact</w:t>
      </w:r>
    </w:p>
    <w:p>
      <w:pPr>
        <w:ind w:left="567" w:right="567"/>
        <w:jc w:val="center"/>
      </w:pPr>
      <w:r>
        <w:rPr>
          <w:rFonts w:ascii="Aptos Display" w:hAnsi="Aptos Display" w:eastAsia="Aptos Display" w:cs="Aptos Display"/>
          <w:color w:val="0A2F40"/>
          <w:sz w:val="24"/>
        </w:rPr>
        <w:t>Institution X holds Licence Y.</w:t>
      </w:r>
    </w:p>
    <w:p>
      <w:r>
        <w:rPr>
          <w:rFonts w:ascii="Aptos" w:hAnsi="Aptos" w:eastAsia="Aptos" w:cs="Aptos"/>
          <w:b/>
          <w:color w:val="15191B"/>
          <w:sz w:val="21"/>
        </w:rPr>
        <w:t>Machine Inference</w:t>
      </w:r>
    </w:p>
    <w:p>
      <w:pPr>
        <w:ind w:left="567" w:right="567"/>
        <w:jc w:val="center"/>
      </w:pPr>
      <w:r>
        <w:rPr>
          <w:rFonts w:ascii="Aptos Display" w:hAnsi="Aptos Display" w:eastAsia="Aptos Display" w:cs="Aptos Display"/>
          <w:color w:val="0A2F40"/>
          <w:sz w:val="24"/>
        </w:rPr>
        <w:t>This licensing relationship may increase the institutional relevance of Institution X within that domain.</w:t>
      </w:r>
    </w:p>
    <w:p>
      <w:r>
        <w:rPr>
          <w:rFonts w:ascii="Aptos" w:hAnsi="Aptos" w:eastAsia="Aptos" w:cs="Aptos"/>
          <w:color w:val="15191B"/>
          <w:sz w:val="21"/>
        </w:rPr>
        <w:t>The second statement must not be re-expressed as if it were the first.</w:t>
      </w:r>
    </w:p>
    <w:p>
      <w:r>
        <w:rPr>
          <w:rFonts w:ascii="Aptos" w:hAnsi="Aptos" w:eastAsia="Aptos" w:cs="Aptos"/>
          <w:color w:val="15191B"/>
          <w:sz w:val="21"/>
        </w:rPr>
        <w:t>Machine interpretation should remain attributable to the machine layer.</w:t>
      </w:r>
    </w:p>
    <w:p>
      <w:pPr>
        <w:pStyle w:val="Heading1"/>
        <w:keepNext/>
        <w:widowControl/>
      </w:pPr>
      <w:r>
        <w:rPr>
          <w:rFonts w:ascii="Aptos Display" w:hAnsi="Aptos Display" w:eastAsia="Aptos Display" w:cs="Aptos Display"/>
          <w:color w:val="FFFFFF"/>
          <w:sz w:val="34"/>
        </w:rPr>
        <w:t>23. Correction Propagation</w:t>
      </w:r>
    </w:p>
    <w:p>
      <w:r>
        <w:rPr>
          <w:rFonts w:ascii="Aptos" w:hAnsi="Aptos" w:eastAsia="Aptos" w:cs="Aptos"/>
          <w:color w:val="15191B"/>
          <w:sz w:val="21"/>
        </w:rPr>
        <w:t>Where an upstream knowledge object undergoes:</w:t>
      </w:r>
    </w:p>
    <w:p>
      <w:pPr>
        <w:pStyle w:val="ListBullet"/>
      </w:pPr>
      <w:r>
        <w:rPr>
          <w:rFonts w:ascii="Aptos" w:hAnsi="Aptos" w:eastAsia="Aptos" w:cs="Aptos"/>
          <w:color w:val="15191B"/>
          <w:sz w:val="21"/>
        </w:rPr>
        <w:t>Correction;</w:t>
      </w:r>
    </w:p>
    <w:p>
      <w:pPr>
        <w:pStyle w:val="ListBullet"/>
      </w:pPr>
      <w:r>
        <w:rPr>
          <w:rFonts w:ascii="Aptos" w:hAnsi="Aptos" w:eastAsia="Aptos" w:cs="Aptos"/>
          <w:color w:val="15191B"/>
          <w:sz w:val="21"/>
        </w:rPr>
        <w:t>Update;</w:t>
      </w:r>
    </w:p>
    <w:p>
      <w:pPr>
        <w:pStyle w:val="ListBullet"/>
      </w:pPr>
      <w:r>
        <w:rPr>
          <w:rFonts w:ascii="Aptos" w:hAnsi="Aptos" w:eastAsia="Aptos" w:cs="Aptos"/>
          <w:color w:val="15191B"/>
          <w:sz w:val="21"/>
        </w:rPr>
        <w:t>Retraction;</w:t>
      </w:r>
    </w:p>
    <w:p>
      <w:pPr>
        <w:pStyle w:val="ListBullet"/>
      </w:pPr>
      <w:r>
        <w:rPr>
          <w:rFonts w:ascii="Aptos" w:hAnsi="Aptos" w:eastAsia="Aptos" w:cs="Aptos"/>
          <w:color w:val="15191B"/>
          <w:sz w:val="21"/>
        </w:rPr>
        <w:t>Supersession; or</w:t>
      </w:r>
    </w:p>
    <w:p>
      <w:pPr>
        <w:pStyle w:val="ListBullet"/>
      </w:pPr>
      <w:r>
        <w:rPr>
          <w:rFonts w:ascii="Aptos" w:hAnsi="Aptos" w:eastAsia="Aptos" w:cs="Aptos"/>
          <w:color w:val="15191B"/>
          <w:sz w:val="21"/>
        </w:rPr>
        <w:t>Unpublication,</w:t>
      </w:r>
    </w:p>
    <w:p>
      <w:r>
        <w:rPr>
          <w:rFonts w:ascii="Aptos" w:hAnsi="Aptos" w:eastAsia="Aptos" w:cs="Aptos"/>
          <w:color w:val="15191B"/>
          <w:sz w:val="21"/>
        </w:rPr>
        <w:t>that status should propagate, where technically practicable, to:</w:t>
      </w:r>
    </w:p>
    <w:p>
      <w:pPr>
        <w:pStyle w:val="ListBullet"/>
      </w:pPr>
      <w:r>
        <w:rPr>
          <w:rFonts w:ascii="Aptos" w:hAnsi="Aptos" w:eastAsia="Aptos" w:cs="Aptos"/>
          <w:color w:val="15191B"/>
          <w:sz w:val="21"/>
        </w:rPr>
        <w:t>institutional registries;</w:t>
      </w:r>
    </w:p>
    <w:p>
      <w:pPr>
        <w:pStyle w:val="ListBullet"/>
      </w:pPr>
      <w:r>
        <w:rPr>
          <w:rFonts w:ascii="Aptos" w:hAnsi="Aptos" w:eastAsia="Aptos" w:cs="Aptos"/>
          <w:color w:val="15191B"/>
          <w:sz w:val="21"/>
        </w:rPr>
        <w:t>machine registries;</w:t>
      </w:r>
    </w:p>
    <w:p>
      <w:pPr>
        <w:pStyle w:val="ListBullet"/>
      </w:pPr>
      <w:r>
        <w:rPr>
          <w:rFonts w:ascii="Aptos" w:hAnsi="Aptos" w:eastAsia="Aptos" w:cs="Aptos"/>
          <w:color w:val="15191B"/>
          <w:sz w:val="21"/>
        </w:rPr>
        <w:t>knowledge graphs;</w:t>
      </w:r>
    </w:p>
    <w:p>
      <w:pPr>
        <w:pStyle w:val="ListBullet"/>
      </w:pPr>
      <w:r>
        <w:rPr>
          <w:rFonts w:ascii="Aptos" w:hAnsi="Aptos" w:eastAsia="Aptos" w:cs="Aptos"/>
          <w:color w:val="15191B"/>
          <w:sz w:val="21"/>
        </w:rPr>
        <w:t>publication indexes;</w:t>
      </w:r>
    </w:p>
    <w:p>
      <w:pPr>
        <w:pStyle w:val="ListBullet"/>
      </w:pPr>
      <w:r>
        <w:rPr>
          <w:rFonts w:ascii="Aptos" w:hAnsi="Aptos" w:eastAsia="Aptos" w:cs="Aptos"/>
          <w:color w:val="15191B"/>
          <w:sz w:val="21"/>
        </w:rPr>
        <w:t>retrieval layers; and</w:t>
      </w:r>
    </w:p>
    <w:p>
      <w:pPr>
        <w:pStyle w:val="ListBullet"/>
      </w:pPr>
      <w:r>
        <w:rPr>
          <w:rFonts w:ascii="Aptos" w:hAnsi="Aptos" w:eastAsia="Aptos" w:cs="Aptos"/>
          <w:color w:val="15191B"/>
          <w:sz w:val="21"/>
        </w:rPr>
        <w:t>dependent objects.</w:t>
      </w:r>
    </w:p>
    <w:p>
      <w:r>
        <w:rPr>
          <w:rFonts w:ascii="Aptos" w:hAnsi="Aptos" w:eastAsia="Aptos" w:cs="Aptos"/>
          <w:color w:val="15191B"/>
          <w:sz w:val="21"/>
        </w:rPr>
        <w:t>The governing principle is:</w:t>
      </w:r>
    </w:p>
    <w:p>
      <w:pPr>
        <w:ind w:left="567" w:right="567"/>
        <w:jc w:val="center"/>
      </w:pPr>
      <w:r>
        <w:rPr>
          <w:rFonts w:ascii="Aptos Display" w:hAnsi="Aptos Display" w:eastAsia="Aptos Display" w:cs="Aptos Display"/>
          <w:b/>
          <w:color w:val="0A2F40"/>
          <w:sz w:val="24"/>
        </w:rPr>
        <w:t>Correction must propagate.</w:t>
      </w:r>
    </w:p>
    <w:p>
      <w:r>
        <w:rPr>
          <w:rFonts w:ascii="Aptos" w:hAnsi="Aptos" w:eastAsia="Aptos" w:cs="Aptos"/>
          <w:color w:val="15191B"/>
          <w:sz w:val="21"/>
        </w:rPr>
        <w:t>Machine-readable infrastructure becomes unreliable if obsolete authority states continue to circulate after the source has changed.</w:t>
      </w:r>
    </w:p>
    <w:p>
      <w:pPr>
        <w:pStyle w:val="Heading1"/>
        <w:keepNext/>
        <w:widowControl/>
      </w:pPr>
      <w:r>
        <w:rPr>
          <w:rFonts w:ascii="Aptos Display" w:hAnsi="Aptos Display" w:eastAsia="Aptos Display" w:cs="Aptos Display"/>
          <w:color w:val="FFFFFF"/>
          <w:sz w:val="34"/>
        </w:rPr>
        <w:t>24. Repetition Does Not Create Authority</w:t>
      </w:r>
    </w:p>
    <w:p>
      <w:r>
        <w:rPr>
          <w:rFonts w:ascii="Aptos" w:hAnsi="Aptos" w:eastAsia="Aptos" w:cs="Aptos"/>
          <w:color w:val="15191B"/>
          <w:sz w:val="21"/>
        </w:rPr>
        <w:t>A false institutional claim does not become valid because it is repeated.</w:t>
      </w:r>
    </w:p>
    <w:p>
      <w:r>
        <w:rPr>
          <w:rFonts w:ascii="Aptos" w:hAnsi="Aptos" w:eastAsia="Aptos" w:cs="Aptos"/>
          <w:color w:val="15191B"/>
          <w:sz w:val="21"/>
        </w:rPr>
        <w:t>Even if it appears across:</w:t>
      </w:r>
    </w:p>
    <w:p>
      <w:pPr>
        <w:pStyle w:val="ListBullet"/>
      </w:pPr>
      <w:r>
        <w:rPr>
          <w:rFonts w:ascii="Aptos" w:hAnsi="Aptos" w:eastAsia="Aptos" w:cs="Aptos"/>
          <w:color w:val="15191B"/>
          <w:sz w:val="21"/>
        </w:rPr>
        <w:t>multiple websites;</w:t>
      </w:r>
    </w:p>
    <w:p>
      <w:pPr>
        <w:pStyle w:val="ListBullet"/>
      </w:pPr>
      <w:r>
        <w:rPr>
          <w:rFonts w:ascii="Aptos" w:hAnsi="Aptos" w:eastAsia="Aptos" w:cs="Aptos"/>
          <w:color w:val="15191B"/>
          <w:sz w:val="21"/>
        </w:rPr>
        <w:t>social networks;</w:t>
      </w:r>
    </w:p>
    <w:p>
      <w:pPr>
        <w:pStyle w:val="ListBullet"/>
      </w:pPr>
      <w:r>
        <w:rPr>
          <w:rFonts w:ascii="Aptos" w:hAnsi="Aptos" w:eastAsia="Aptos" w:cs="Aptos"/>
          <w:color w:val="15191B"/>
          <w:sz w:val="21"/>
        </w:rPr>
        <w:t>generated AI answers;</w:t>
      </w:r>
    </w:p>
    <w:p>
      <w:pPr>
        <w:pStyle w:val="ListBullet"/>
      </w:pPr>
      <w:r>
        <w:rPr>
          <w:rFonts w:ascii="Aptos" w:hAnsi="Aptos" w:eastAsia="Aptos" w:cs="Aptos"/>
          <w:color w:val="15191B"/>
          <w:sz w:val="21"/>
        </w:rPr>
        <w:t>secondary databases; or</w:t>
      </w:r>
    </w:p>
    <w:p>
      <w:pPr>
        <w:pStyle w:val="ListBullet"/>
      </w:pPr>
      <w:r>
        <w:rPr>
          <w:rFonts w:ascii="Aptos" w:hAnsi="Aptos" w:eastAsia="Aptos" w:cs="Aptos"/>
          <w:color w:val="15191B"/>
          <w:sz w:val="21"/>
        </w:rPr>
        <w:t>derivative publications,</w:t>
      </w:r>
    </w:p>
    <w:p>
      <w:r>
        <w:rPr>
          <w:rFonts w:ascii="Aptos" w:hAnsi="Aptos" w:eastAsia="Aptos" w:cs="Aptos"/>
          <w:color w:val="15191B"/>
          <w:sz w:val="21"/>
        </w:rPr>
        <w:t>the original authority claim remains unsupported.</w:t>
      </w:r>
    </w:p>
    <w:p>
      <w:r>
        <w:rPr>
          <w:rFonts w:ascii="Aptos" w:hAnsi="Aptos" w:eastAsia="Aptos" w:cs="Aptos"/>
          <w:color w:val="15191B"/>
          <w:sz w:val="21"/>
        </w:rPr>
        <w:t>Therefore:</w:t>
      </w:r>
    </w:p>
    <w:p>
      <w:pPr>
        <w:pStyle w:val="CodeBlock"/>
      </w:pPr>
      <w:r>
        <w:t>Repetition != Authority</w:t>
      </w:r>
    </w:p>
    <w:p>
      <w:r>
        <w:rPr>
          <w:rFonts w:ascii="Aptos" w:hAnsi="Aptos" w:eastAsia="Aptos" w:cs="Aptos"/>
          <w:color w:val="15191B"/>
          <w:sz w:val="21"/>
        </w:rPr>
        <w:t>Frequency is not institutional mandate.</w:t>
      </w:r>
    </w:p>
    <w:p>
      <w:pPr>
        <w:pStyle w:val="Heading1"/>
        <w:keepNext/>
        <w:widowControl/>
      </w:pPr>
      <w:r>
        <w:rPr>
          <w:rFonts w:ascii="Aptos Display" w:hAnsi="Aptos Display" w:eastAsia="Aptos Display" w:cs="Aptos Display"/>
          <w:color w:val="FFFFFF"/>
          <w:sz w:val="34"/>
        </w:rPr>
        <w:t>25. Graph Centrality Does Not Create Authority</w:t>
      </w:r>
    </w:p>
    <w:p>
      <w:r>
        <w:rPr>
          <w:rFonts w:ascii="Aptos" w:hAnsi="Aptos" w:eastAsia="Aptos" w:cs="Aptos"/>
          <w:color w:val="15191B"/>
          <w:sz w:val="21"/>
        </w:rPr>
        <w:t>A node may have:</w:t>
      </w:r>
    </w:p>
    <w:p>
      <w:pPr>
        <w:pStyle w:val="ListBullet"/>
      </w:pPr>
      <w:r>
        <w:rPr>
          <w:rFonts w:ascii="Aptos" w:hAnsi="Aptos" w:eastAsia="Aptos" w:cs="Aptos"/>
          <w:color w:val="15191B"/>
          <w:sz w:val="21"/>
        </w:rPr>
        <w:t>many backlinks;</w:t>
      </w:r>
    </w:p>
    <w:p>
      <w:pPr>
        <w:pStyle w:val="ListBullet"/>
      </w:pPr>
      <w:r>
        <w:rPr>
          <w:rFonts w:ascii="Aptos" w:hAnsi="Aptos" w:eastAsia="Aptos" w:cs="Aptos"/>
          <w:color w:val="15191B"/>
          <w:sz w:val="21"/>
        </w:rPr>
        <w:t>many citations;</w:t>
      </w:r>
    </w:p>
    <w:p>
      <w:pPr>
        <w:pStyle w:val="ListBullet"/>
      </w:pPr>
      <w:r>
        <w:rPr>
          <w:rFonts w:ascii="Aptos" w:hAnsi="Aptos" w:eastAsia="Aptos" w:cs="Aptos"/>
          <w:color w:val="15191B"/>
          <w:sz w:val="21"/>
        </w:rPr>
        <w:t>many graph edges;</w:t>
      </w:r>
    </w:p>
    <w:p>
      <w:pPr>
        <w:pStyle w:val="ListBullet"/>
      </w:pPr>
      <w:r>
        <w:rPr>
          <w:rFonts w:ascii="Aptos" w:hAnsi="Aptos" w:eastAsia="Aptos" w:cs="Aptos"/>
          <w:color w:val="15191B"/>
          <w:sz w:val="21"/>
        </w:rPr>
        <w:t>high retrieval frequency; or</w:t>
      </w:r>
    </w:p>
    <w:p>
      <w:pPr>
        <w:pStyle w:val="ListBullet"/>
      </w:pPr>
      <w:r>
        <w:rPr>
          <w:rFonts w:ascii="Aptos" w:hAnsi="Aptos" w:eastAsia="Aptos" w:cs="Aptos"/>
          <w:color w:val="15191B"/>
          <w:sz w:val="21"/>
        </w:rPr>
        <w:t>high network centrality.</w:t>
      </w:r>
    </w:p>
    <w:p>
      <w:r>
        <w:rPr>
          <w:rFonts w:ascii="Aptos" w:hAnsi="Aptos" w:eastAsia="Aptos" w:cs="Aptos"/>
          <w:color w:val="15191B"/>
          <w:sz w:val="21"/>
        </w:rPr>
        <w:t>Yet:</w:t>
      </w:r>
    </w:p>
    <w:p>
      <w:pPr>
        <w:pStyle w:val="CodeBlock"/>
      </w:pPr>
      <w:r>
        <w:t>Graph Centrality != Institutional Authority</w:t>
      </w:r>
    </w:p>
    <w:p>
      <w:r>
        <w:rPr>
          <w:rFonts w:ascii="Aptos" w:hAnsi="Aptos" w:eastAsia="Aptos" w:cs="Aptos"/>
          <w:color w:val="15191B"/>
          <w:sz w:val="21"/>
        </w:rPr>
        <w:t>Network importance and institutional authority are different properties.</w:t>
      </w:r>
    </w:p>
    <w:p>
      <w:pPr>
        <w:pStyle w:val="Heading1"/>
        <w:keepNext/>
        <w:widowControl/>
      </w:pPr>
      <w:r>
        <w:rPr>
          <w:rFonts w:ascii="Aptos Display" w:hAnsi="Aptos Display" w:eastAsia="Aptos Display" w:cs="Aptos Display"/>
          <w:color w:val="FFFFFF"/>
          <w:sz w:val="34"/>
        </w:rPr>
        <w:t>26. Machine Confidence Does Not Create Authority</w:t>
      </w:r>
    </w:p>
    <w:p>
      <w:r>
        <w:rPr>
          <w:rFonts w:ascii="Aptos" w:hAnsi="Aptos" w:eastAsia="Aptos" w:cs="Aptos"/>
          <w:color w:val="15191B"/>
          <w:sz w:val="21"/>
        </w:rPr>
        <w:t>An AI system may report a high confidence score.</w:t>
      </w:r>
    </w:p>
    <w:p>
      <w:r>
        <w:rPr>
          <w:rFonts w:ascii="Aptos" w:hAnsi="Aptos" w:eastAsia="Aptos" w:cs="Aptos"/>
          <w:color w:val="15191B"/>
          <w:sz w:val="21"/>
        </w:rPr>
        <w:t>That confidence represents a model-level assessment.</w:t>
      </w:r>
    </w:p>
    <w:p>
      <w:r>
        <w:rPr>
          <w:rFonts w:ascii="Aptos" w:hAnsi="Aptos" w:eastAsia="Aptos" w:cs="Aptos"/>
          <w:color w:val="15191B"/>
          <w:sz w:val="21"/>
        </w:rPr>
        <w:t>It is not an institutional mandate.</w:t>
      </w:r>
    </w:p>
    <w:p>
      <w:r>
        <w:rPr>
          <w:rFonts w:ascii="Aptos" w:hAnsi="Aptos" w:eastAsia="Aptos" w:cs="Aptos"/>
          <w:color w:val="15191B"/>
          <w:sz w:val="21"/>
        </w:rPr>
        <w:t>Therefore:</w:t>
      </w:r>
    </w:p>
    <w:p>
      <w:pPr>
        <w:pStyle w:val="CodeBlock"/>
      </w:pPr>
      <w:r>
        <w:t>Model Confidence != Institutional Authority</w:t>
      </w:r>
    </w:p>
    <w:p>
      <w:r>
        <w:rPr>
          <w:rFonts w:ascii="Aptos" w:hAnsi="Aptos" w:eastAsia="Aptos" w:cs="Aptos"/>
          <w:color w:val="15191B"/>
          <w:sz w:val="21"/>
        </w:rPr>
        <w:t>A 95% model confidence score cannot convert an inference into an official institutional judgment.</w:t>
      </w:r>
    </w:p>
    <w:p>
      <w:pPr>
        <w:pStyle w:val="Heading1"/>
        <w:keepNext/>
        <w:widowControl/>
      </w:pPr>
      <w:r>
        <w:rPr>
          <w:rFonts w:ascii="Aptos Display" w:hAnsi="Aptos Display" w:eastAsia="Aptos Display" w:cs="Aptos Display"/>
          <w:color w:val="FFFFFF"/>
          <w:sz w:val="34"/>
        </w:rPr>
        <w:t>27. Policy Implication</w:t>
      </w:r>
    </w:p>
    <w:p>
      <w:r>
        <w:rPr>
          <w:rFonts w:ascii="Aptos" w:hAnsi="Aptos" w:eastAsia="Aptos" w:cs="Aptos"/>
          <w:color w:val="15191B"/>
          <w:sz w:val="21"/>
        </w:rPr>
        <w:t>Future governance of:</w:t>
      </w:r>
    </w:p>
    <w:p>
      <w:pPr>
        <w:pStyle w:val="ListBullet"/>
      </w:pPr>
      <w:r>
        <w:rPr>
          <w:rFonts w:ascii="Aptos" w:hAnsi="Aptos" w:eastAsia="Aptos" w:cs="Aptos"/>
          <w:color w:val="15191B"/>
          <w:sz w:val="21"/>
        </w:rPr>
        <w:t>machine-readable regulation;</w:t>
      </w:r>
    </w:p>
    <w:p>
      <w:pPr>
        <w:pStyle w:val="ListBullet"/>
      </w:pPr>
      <w:r>
        <w:rPr>
          <w:rFonts w:ascii="Aptos" w:hAnsi="Aptos" w:eastAsia="Aptos" w:cs="Aptos"/>
          <w:color w:val="15191B"/>
          <w:sz w:val="21"/>
        </w:rPr>
        <w:t>RegTech;</w:t>
      </w:r>
    </w:p>
    <w:p>
      <w:pPr>
        <w:pStyle w:val="ListBullet"/>
      </w:pPr>
      <w:r>
        <w:rPr>
          <w:rFonts w:ascii="Aptos" w:hAnsi="Aptos" w:eastAsia="Aptos" w:cs="Aptos"/>
          <w:color w:val="15191B"/>
          <w:sz w:val="21"/>
        </w:rPr>
        <w:t>AI compliance systems;</w:t>
      </w:r>
    </w:p>
    <w:p>
      <w:pPr>
        <w:pStyle w:val="ListBullet"/>
      </w:pPr>
      <w:r>
        <w:rPr>
          <w:rFonts w:ascii="Aptos" w:hAnsi="Aptos" w:eastAsia="Aptos" w:cs="Aptos"/>
          <w:color w:val="15191B"/>
          <w:sz w:val="21"/>
        </w:rPr>
        <w:t>digital public infrastructure; and</w:t>
      </w:r>
    </w:p>
    <w:p>
      <w:pPr>
        <w:pStyle w:val="ListBullet"/>
      </w:pPr>
      <w:r>
        <w:rPr>
          <w:rFonts w:ascii="Aptos" w:hAnsi="Aptos" w:eastAsia="Aptos" w:cs="Aptos"/>
          <w:color w:val="15191B"/>
          <w:sz w:val="21"/>
        </w:rPr>
        <w:t>institutional knowledge graphs</w:t>
      </w:r>
    </w:p>
    <w:p>
      <w:r>
        <w:rPr>
          <w:rFonts w:ascii="Aptos" w:hAnsi="Aptos" w:eastAsia="Aptos" w:cs="Aptos"/>
          <w:color w:val="15191B"/>
          <w:sz w:val="21"/>
        </w:rPr>
        <w:t>should not focus only on data format.</w:t>
      </w:r>
    </w:p>
    <w:p>
      <w:r>
        <w:rPr>
          <w:rFonts w:ascii="Aptos" w:hAnsi="Aptos" w:eastAsia="Aptos" w:cs="Aptos"/>
          <w:color w:val="15191B"/>
          <w:sz w:val="21"/>
        </w:rPr>
        <w:t>It must also govern:</w:t>
      </w:r>
    </w:p>
    <w:p>
      <w:pPr>
        <w:pStyle w:val="Heading1"/>
        <w:keepNext/>
        <w:widowControl/>
      </w:pPr>
      <w:r>
        <w:rPr>
          <w:rFonts w:ascii="Aptos Display" w:hAnsi="Aptos Display" w:eastAsia="Aptos Display" w:cs="Aptos Display"/>
          <w:color w:val="FFFFFF"/>
          <w:sz w:val="34"/>
        </w:rPr>
        <w:t>Authority Semantics</w:t>
      </w:r>
    </w:p>
    <w:p>
      <w:r>
        <w:rPr>
          <w:rFonts w:ascii="Aptos" w:hAnsi="Aptos" w:eastAsia="Aptos" w:cs="Aptos"/>
          <w:color w:val="15191B"/>
          <w:sz w:val="21"/>
        </w:rPr>
        <w:t>Authority Semantics addresses:</w:t>
      </w:r>
    </w:p>
    <w:p>
      <w:pPr>
        <w:ind w:left="567" w:right="567"/>
        <w:jc w:val="center"/>
      </w:pPr>
      <w:r>
        <w:rPr>
          <w:rFonts w:ascii="Aptos Display" w:hAnsi="Aptos Display" w:eastAsia="Aptos Display" w:cs="Aptos Display"/>
          <w:b/>
          <w:color w:val="0A2F40"/>
          <w:sz w:val="24"/>
        </w:rPr>
        <w:t>How does a machine know who is authorised to say what?</w:t>
      </w:r>
    </w:p>
    <w:p>
      <w:pPr>
        <w:pStyle w:val="Heading1"/>
        <w:keepNext/>
        <w:widowControl/>
      </w:pPr>
      <w:r>
        <w:rPr>
          <w:rFonts w:ascii="Aptos Display" w:hAnsi="Aptos Display" w:eastAsia="Aptos Display" w:cs="Aptos Display"/>
          <w:color w:val="FFFFFF"/>
          <w:sz w:val="34"/>
        </w:rPr>
        <w:t>28. Implication for Standard Setters</w:t>
      </w:r>
    </w:p>
    <w:p>
      <w:r>
        <w:rPr>
          <w:rFonts w:ascii="Aptos" w:hAnsi="Aptos" w:eastAsia="Aptos" w:cs="Aptos"/>
          <w:color w:val="15191B"/>
          <w:sz w:val="21"/>
        </w:rPr>
        <w:t>Where standard-setting organisations expect their materials to be processed by AI and machine-readable systems, they may increasingly need to publish:</w:t>
      </w:r>
    </w:p>
    <w:p>
      <w:pPr>
        <w:pStyle w:val="ListBullet"/>
      </w:pPr>
      <w:r>
        <w:rPr>
          <w:rFonts w:ascii="Aptos" w:hAnsi="Aptos" w:eastAsia="Aptos" w:cs="Aptos"/>
          <w:color w:val="15191B"/>
          <w:sz w:val="21"/>
        </w:rPr>
        <w:t>typed institutional relationships;</w:t>
      </w:r>
    </w:p>
    <w:p>
      <w:pPr>
        <w:pStyle w:val="ListBullet"/>
      </w:pPr>
      <w:r>
        <w:rPr>
          <w:rFonts w:ascii="Aptos" w:hAnsi="Aptos" w:eastAsia="Aptos" w:cs="Aptos"/>
          <w:color w:val="15191B"/>
          <w:sz w:val="21"/>
        </w:rPr>
        <w:t>machine-readable status;</w:t>
      </w:r>
    </w:p>
    <w:p>
      <w:pPr>
        <w:pStyle w:val="ListBullet"/>
      </w:pPr>
      <w:r>
        <w:rPr>
          <w:rFonts w:ascii="Aptos" w:hAnsi="Aptos" w:eastAsia="Aptos" w:cs="Aptos"/>
          <w:color w:val="15191B"/>
          <w:sz w:val="21"/>
        </w:rPr>
        <w:t>version states;</w:t>
      </w:r>
    </w:p>
    <w:p>
      <w:pPr>
        <w:pStyle w:val="ListBullet"/>
      </w:pPr>
      <w:r>
        <w:rPr>
          <w:rFonts w:ascii="Aptos" w:hAnsi="Aptos" w:eastAsia="Aptos" w:cs="Aptos"/>
          <w:color w:val="15191B"/>
          <w:sz w:val="21"/>
        </w:rPr>
        <w:t>authority scope;</w:t>
      </w:r>
    </w:p>
    <w:p>
      <w:pPr>
        <w:pStyle w:val="ListBullet"/>
      </w:pPr>
      <w:r>
        <w:rPr>
          <w:rFonts w:ascii="Aptos" w:hAnsi="Aptos" w:eastAsia="Aptos" w:cs="Aptos"/>
          <w:color w:val="15191B"/>
          <w:sz w:val="21"/>
        </w:rPr>
        <w:t>effective dates;</w:t>
      </w:r>
    </w:p>
    <w:p>
      <w:pPr>
        <w:pStyle w:val="ListBullet"/>
      </w:pPr>
      <w:r>
        <w:rPr>
          <w:rFonts w:ascii="Aptos" w:hAnsi="Aptos" w:eastAsia="Aptos" w:cs="Aptos"/>
          <w:color w:val="15191B"/>
          <w:sz w:val="21"/>
        </w:rPr>
        <w:t>explicit non-transfer rules; and</w:t>
      </w:r>
    </w:p>
    <w:p>
      <w:pPr>
        <w:pStyle w:val="ListBullet"/>
      </w:pPr>
      <w:r>
        <w:rPr>
          <w:rFonts w:ascii="Aptos" w:hAnsi="Aptos" w:eastAsia="Aptos" w:cs="Aptos"/>
          <w:color w:val="15191B"/>
          <w:sz w:val="21"/>
        </w:rPr>
        <w:t>Negative Metadata.</w:t>
      </w:r>
    </w:p>
    <w:p>
      <w:r>
        <w:rPr>
          <w:rFonts w:ascii="Aptos" w:hAnsi="Aptos" w:eastAsia="Aptos" w:cs="Aptos"/>
          <w:color w:val="15191B"/>
          <w:sz w:val="21"/>
        </w:rPr>
        <w:t>A correct source document can still be misinterpreted if its institutional relationships are machine-ambiguous.</w:t>
      </w:r>
    </w:p>
    <w:p>
      <w:pPr>
        <w:pStyle w:val="Heading1"/>
        <w:keepNext/>
        <w:widowControl/>
      </w:pPr>
      <w:r>
        <w:rPr>
          <w:rFonts w:ascii="Aptos Display" w:hAnsi="Aptos Display" w:eastAsia="Aptos Display" w:cs="Aptos Display"/>
          <w:color w:val="FFFFFF"/>
          <w:sz w:val="34"/>
        </w:rPr>
        <w:t>29. Implication for Assurance Providers</w:t>
      </w:r>
    </w:p>
    <w:p>
      <w:r>
        <w:rPr>
          <w:rFonts w:ascii="Aptos" w:hAnsi="Aptos" w:eastAsia="Aptos" w:cs="Aptos"/>
          <w:color w:val="15191B"/>
          <w:sz w:val="21"/>
        </w:rPr>
        <w:t>Assurance relationships should be machine-readable and scope-specific.</w:t>
      </w:r>
    </w:p>
    <w:p>
      <w:r>
        <w:rPr>
          <w:rFonts w:ascii="Aptos" w:hAnsi="Aptos" w:eastAsia="Aptos" w:cs="Aptos"/>
          <w:color w:val="15191B"/>
          <w:sz w:val="21"/>
        </w:rPr>
        <w:t>For example:</w:t>
      </w:r>
    </w:p>
    <w:p>
      <w:pPr>
        <w:pStyle w:val="CodeBlock"/>
      </w:pPr>
      <w:r>
        <w:t>assurance_level: limited</w:t>
        <w:br/>
        <w:t>subject: Scope 1 emissions</w:t>
        <w:br/>
        <w:t>period: FY2026</w:t>
        <w:br/>
        <w:t>entity: Company A</w:t>
      </w:r>
    </w:p>
    <w:p>
      <w:r>
        <w:rPr>
          <w:rFonts w:ascii="Aptos" w:hAnsi="Aptos" w:eastAsia="Aptos" w:cs="Aptos"/>
          <w:color w:val="15191B"/>
          <w:sz w:val="21"/>
        </w:rPr>
        <w:t>is materially safer than a generic relationship such as:</w:t>
      </w:r>
    </w:p>
    <w:p>
      <w:pPr>
        <w:pStyle w:val="CodeBlock"/>
      </w:pPr>
      <w:r>
        <w:t>assured_by: Firm B</w:t>
      </w:r>
    </w:p>
    <w:p>
      <w:r>
        <w:rPr>
          <w:rFonts w:ascii="Aptos" w:hAnsi="Aptos" w:eastAsia="Aptos" w:cs="Aptos"/>
          <w:color w:val="15191B"/>
          <w:sz w:val="21"/>
        </w:rPr>
        <w:t>Without scope, an AI system may transform a limited assurance engagement into an implied organisation-wide certification.</w:t>
      </w:r>
    </w:p>
    <w:p>
      <w:pPr>
        <w:pStyle w:val="Heading1"/>
        <w:keepNext/>
        <w:widowControl/>
      </w:pPr>
      <w:r>
        <w:rPr>
          <w:rFonts w:ascii="Aptos Display" w:hAnsi="Aptos Display" w:eastAsia="Aptos Display" w:cs="Aptos Display"/>
          <w:color w:val="FFFFFF"/>
          <w:sz w:val="34"/>
        </w:rPr>
        <w:t>30. Implication for Regulators</w:t>
      </w:r>
    </w:p>
    <w:p>
      <w:r>
        <w:rPr>
          <w:rFonts w:ascii="Aptos" w:hAnsi="Aptos" w:eastAsia="Aptos" w:cs="Aptos"/>
          <w:color w:val="15191B"/>
          <w:sz w:val="21"/>
        </w:rPr>
        <w:t>Machine-readable systems must distinguish between:</w:t>
      </w:r>
    </w:p>
    <w:p>
      <w:pPr>
        <w:pStyle w:val="ListBullet"/>
      </w:pPr>
      <w:r>
        <w:rPr>
          <w:rFonts w:ascii="Aptos" w:hAnsi="Aptos" w:eastAsia="Aptos" w:cs="Aptos"/>
          <w:color w:val="15191B"/>
          <w:sz w:val="21"/>
        </w:rPr>
        <w:t>consultation;</w:t>
      </w:r>
    </w:p>
    <w:p>
      <w:pPr>
        <w:pStyle w:val="ListBullet"/>
      </w:pPr>
      <w:r>
        <w:rPr>
          <w:rFonts w:ascii="Aptos" w:hAnsi="Aptos" w:eastAsia="Aptos" w:cs="Aptos"/>
          <w:color w:val="15191B"/>
          <w:sz w:val="21"/>
        </w:rPr>
        <w:t>exposure draft;</w:t>
      </w:r>
    </w:p>
    <w:p>
      <w:pPr>
        <w:pStyle w:val="ListBullet"/>
      </w:pPr>
      <w:r>
        <w:rPr>
          <w:rFonts w:ascii="Aptos" w:hAnsi="Aptos" w:eastAsia="Aptos" w:cs="Aptos"/>
          <w:color w:val="15191B"/>
          <w:sz w:val="21"/>
        </w:rPr>
        <w:t>proposal;</w:t>
      </w:r>
    </w:p>
    <w:p>
      <w:pPr>
        <w:pStyle w:val="ListBullet"/>
      </w:pPr>
      <w:r>
        <w:rPr>
          <w:rFonts w:ascii="Aptos" w:hAnsi="Aptos" w:eastAsia="Aptos" w:cs="Aptos"/>
          <w:color w:val="15191B"/>
          <w:sz w:val="21"/>
        </w:rPr>
        <w:t>guidance;</w:t>
      </w:r>
    </w:p>
    <w:p>
      <w:pPr>
        <w:pStyle w:val="ListBullet"/>
      </w:pPr>
      <w:r>
        <w:rPr>
          <w:rFonts w:ascii="Aptos" w:hAnsi="Aptos" w:eastAsia="Aptos" w:cs="Aptos"/>
          <w:color w:val="15191B"/>
          <w:sz w:val="21"/>
        </w:rPr>
        <w:t>technical note;</w:t>
      </w:r>
    </w:p>
    <w:p>
      <w:pPr>
        <w:pStyle w:val="ListBullet"/>
      </w:pPr>
      <w:r>
        <w:rPr>
          <w:rFonts w:ascii="Aptos" w:hAnsi="Aptos" w:eastAsia="Aptos" w:cs="Aptos"/>
          <w:color w:val="15191B"/>
          <w:sz w:val="21"/>
        </w:rPr>
        <w:t>final regulation;</w:t>
      </w:r>
    </w:p>
    <w:p>
      <w:pPr>
        <w:pStyle w:val="ListBullet"/>
      </w:pPr>
      <w:r>
        <w:rPr>
          <w:rFonts w:ascii="Aptos" w:hAnsi="Aptos" w:eastAsia="Aptos" w:cs="Aptos"/>
          <w:color w:val="15191B"/>
          <w:sz w:val="21"/>
        </w:rPr>
        <w:t>effective law; and</w:t>
      </w:r>
    </w:p>
    <w:p>
      <w:pPr>
        <w:pStyle w:val="ListBullet"/>
      </w:pPr>
      <w:r>
        <w:rPr>
          <w:rFonts w:ascii="Aptos" w:hAnsi="Aptos" w:eastAsia="Aptos" w:cs="Aptos"/>
          <w:color w:val="15191B"/>
          <w:sz w:val="21"/>
        </w:rPr>
        <w:t>withdrawn material.</w:t>
      </w:r>
    </w:p>
    <w:p>
      <w:r>
        <w:rPr>
          <w:rFonts w:ascii="Aptos" w:hAnsi="Aptos" w:eastAsia="Aptos" w:cs="Aptos"/>
          <w:color w:val="15191B"/>
          <w:sz w:val="21"/>
        </w:rPr>
        <w:t>Accordingly:</w:t>
      </w:r>
    </w:p>
    <w:p>
      <w:pPr>
        <w:ind w:left="567" w:right="567"/>
        <w:jc w:val="center"/>
      </w:pPr>
      <w:r>
        <w:rPr>
          <w:rFonts w:ascii="Aptos Display" w:hAnsi="Aptos Display" w:eastAsia="Aptos Display" w:cs="Aptos Display"/>
          <w:b/>
          <w:color w:val="0A2F40"/>
          <w:sz w:val="24"/>
        </w:rPr>
        <w:t>Regulatory status is an authority attribute.</w:t>
      </w:r>
    </w:p>
    <w:p>
      <w:r>
        <w:rPr>
          <w:rFonts w:ascii="Aptos" w:hAnsi="Aptos" w:eastAsia="Aptos" w:cs="Aptos"/>
          <w:color w:val="15191B"/>
          <w:sz w:val="21"/>
        </w:rPr>
        <w:t>Status is not merely publication metadata.</w:t>
      </w:r>
    </w:p>
    <w:p>
      <w:r>
        <w:rPr>
          <w:rFonts w:ascii="Aptos" w:hAnsi="Aptos" w:eastAsia="Aptos" w:cs="Aptos"/>
          <w:color w:val="15191B"/>
          <w:sz w:val="21"/>
        </w:rPr>
        <w:t>It changes the legal and institutional meaning of the object.</w:t>
      </w:r>
    </w:p>
    <w:p>
      <w:pPr>
        <w:pStyle w:val="Heading1"/>
        <w:keepNext/>
        <w:widowControl/>
      </w:pPr>
      <w:r>
        <w:rPr>
          <w:rFonts w:ascii="Aptos Display" w:hAnsi="Aptos Display" w:eastAsia="Aptos Display" w:cs="Aptos Display"/>
          <w:color w:val="FFFFFF"/>
          <w:sz w:val="34"/>
        </w:rPr>
        <w:t>31. Canonical Rule Set</w:t>
      </w:r>
    </w:p>
    <w:p>
      <w:r>
        <w:rPr>
          <w:rFonts w:ascii="Aptos" w:hAnsi="Aptos" w:eastAsia="Aptos" w:cs="Aptos"/>
          <w:color w:val="15191B"/>
          <w:sz w:val="21"/>
        </w:rPr>
        <w:t>The Institutional Authority Firewall establishes twelve core rules:</w:t>
      </w:r>
    </w:p>
    <w:p>
      <w:pPr>
        <w:pStyle w:val="ListNumber"/>
        <w:numPr>
          <w:ilvl w:val="0"/>
          <w:numId w:val="10"/>
        </w:numPr>
      </w:pPr>
      <w:r>
        <w:rPr>
          <w:rFonts w:ascii="Aptos" w:hAnsi="Aptos" w:eastAsia="Aptos" w:cs="Aptos"/>
          <w:b/>
          <w:color w:val="15191B"/>
          <w:sz w:val="21"/>
        </w:rPr>
        <w:t>Authority is non-transitive.</w:t>
      </w:r>
    </w:p>
    <w:p>
      <w:pPr>
        <w:pStyle w:val="ListNumber"/>
        <w:numPr>
          <w:ilvl w:val="0"/>
          <w:numId w:val="10"/>
        </w:numPr>
      </w:pPr>
      <w:r>
        <w:rPr>
          <w:rFonts w:ascii="Aptos" w:hAnsi="Aptos" w:eastAsia="Aptos" w:cs="Aptos"/>
          <w:b/>
          <w:color w:val="15191B"/>
          <w:sz w:val="21"/>
        </w:rPr>
        <w:t>Authority is scope-bound.</w:t>
      </w:r>
    </w:p>
    <w:p>
      <w:pPr>
        <w:pStyle w:val="ListNumber"/>
        <w:numPr>
          <w:ilvl w:val="0"/>
          <w:numId w:val="10"/>
        </w:numPr>
      </w:pPr>
      <w:r>
        <w:rPr>
          <w:rFonts w:ascii="Aptos" w:hAnsi="Aptos" w:eastAsia="Aptos" w:cs="Aptos"/>
          <w:b/>
          <w:color w:val="15191B"/>
          <w:sz w:val="21"/>
        </w:rPr>
        <w:t>Authority is time-bound.</w:t>
      </w:r>
    </w:p>
    <w:p>
      <w:pPr>
        <w:pStyle w:val="ListNumber"/>
        <w:numPr>
          <w:ilvl w:val="0"/>
          <w:numId w:val="10"/>
        </w:numPr>
      </w:pPr>
      <w:r>
        <w:rPr>
          <w:rFonts w:ascii="Aptos" w:hAnsi="Aptos" w:eastAsia="Aptos" w:cs="Aptos"/>
          <w:b/>
          <w:color w:val="15191B"/>
          <w:sz w:val="21"/>
        </w:rPr>
        <w:t>Relationship types must be preserved.</w:t>
      </w:r>
    </w:p>
    <w:p>
      <w:pPr>
        <w:pStyle w:val="ListNumber"/>
        <w:numPr>
          <w:ilvl w:val="0"/>
          <w:numId w:val="10"/>
        </w:numPr>
      </w:pPr>
      <w:r>
        <w:rPr>
          <w:rFonts w:ascii="Aptos" w:hAnsi="Aptos" w:eastAsia="Aptos" w:cs="Aptos"/>
          <w:b/>
          <w:color w:val="15191B"/>
          <w:sz w:val="21"/>
        </w:rPr>
        <w:t>Evidence does not create judgment.</w:t>
      </w:r>
    </w:p>
    <w:p>
      <w:pPr>
        <w:pStyle w:val="ListNumber"/>
        <w:numPr>
          <w:ilvl w:val="0"/>
          <w:numId w:val="10"/>
        </w:numPr>
      </w:pPr>
      <w:r>
        <w:rPr>
          <w:rFonts w:ascii="Aptos" w:hAnsi="Aptos" w:eastAsia="Aptos" w:cs="Aptos"/>
          <w:b/>
          <w:color w:val="15191B"/>
          <w:sz w:val="21"/>
        </w:rPr>
        <w:t>Mapping does not create equivalence.</w:t>
      </w:r>
    </w:p>
    <w:p>
      <w:pPr>
        <w:pStyle w:val="ListNumber"/>
        <w:numPr>
          <w:ilvl w:val="0"/>
          <w:numId w:val="10"/>
        </w:numPr>
      </w:pPr>
      <w:r>
        <w:rPr>
          <w:rFonts w:ascii="Aptos" w:hAnsi="Aptos" w:eastAsia="Aptos" w:cs="Aptos"/>
          <w:b/>
          <w:color w:val="15191B"/>
          <w:sz w:val="21"/>
        </w:rPr>
        <w:t>Licensing does not create endorsement.</w:t>
      </w:r>
    </w:p>
    <w:p>
      <w:pPr>
        <w:pStyle w:val="ListNumber"/>
        <w:numPr>
          <w:ilvl w:val="0"/>
          <w:numId w:val="10"/>
        </w:numPr>
      </w:pPr>
      <w:r>
        <w:rPr>
          <w:rFonts w:ascii="Aptos" w:hAnsi="Aptos" w:eastAsia="Aptos" w:cs="Aptos"/>
          <w:b/>
          <w:color w:val="15191B"/>
          <w:sz w:val="21"/>
        </w:rPr>
        <w:t>Registration does not create validation.</w:t>
      </w:r>
    </w:p>
    <w:p>
      <w:pPr>
        <w:pStyle w:val="ListNumber"/>
        <w:numPr>
          <w:ilvl w:val="0"/>
          <w:numId w:val="10"/>
        </w:numPr>
      </w:pPr>
      <w:r>
        <w:rPr>
          <w:rFonts w:ascii="Aptos" w:hAnsi="Aptos" w:eastAsia="Aptos" w:cs="Aptos"/>
          <w:b/>
          <w:color w:val="15191B"/>
          <w:sz w:val="21"/>
        </w:rPr>
        <w:t>Membership does not create delegated authority.</w:t>
      </w:r>
    </w:p>
    <w:p>
      <w:pPr>
        <w:pStyle w:val="ListNumber"/>
        <w:numPr>
          <w:ilvl w:val="0"/>
          <w:numId w:val="10"/>
        </w:numPr>
      </w:pPr>
      <w:r>
        <w:rPr>
          <w:rFonts w:ascii="Aptos" w:hAnsi="Aptos" w:eastAsia="Aptos" w:cs="Aptos"/>
          <w:b/>
          <w:color w:val="15191B"/>
          <w:sz w:val="21"/>
        </w:rPr>
        <w:t>Machine inference does not create institutional judgment.</w:t>
      </w:r>
    </w:p>
    <w:p>
      <w:pPr>
        <w:pStyle w:val="ListNumber"/>
        <w:numPr>
          <w:ilvl w:val="0"/>
          <w:numId w:val="10"/>
        </w:numPr>
      </w:pPr>
      <w:r>
        <w:rPr>
          <w:rFonts w:ascii="Aptos" w:hAnsi="Aptos" w:eastAsia="Aptos" w:cs="Aptos"/>
          <w:b/>
          <w:color w:val="15191B"/>
          <w:sz w:val="21"/>
        </w:rPr>
        <w:t>Graph centrality does not create authority.</w:t>
      </w:r>
    </w:p>
    <w:p>
      <w:pPr>
        <w:pStyle w:val="ListNumber"/>
        <w:numPr>
          <w:ilvl w:val="0"/>
          <w:numId w:val="10"/>
        </w:numPr>
      </w:pPr>
      <w:r>
        <w:rPr>
          <w:rFonts w:ascii="Aptos" w:hAnsi="Aptos" w:eastAsia="Aptos" w:cs="Aptos"/>
          <w:b/>
          <w:color w:val="15191B"/>
          <w:sz w:val="21"/>
        </w:rPr>
        <w:t>Machine prominence does not create regulatory recognition.</w:t>
      </w:r>
    </w:p>
    <w:p>
      <w:r>
        <w:rPr>
          <w:rFonts w:ascii="Aptos" w:hAnsi="Aptos" w:eastAsia="Aptos" w:cs="Aptos"/>
          <w:color w:val="15191B"/>
          <w:sz w:val="21"/>
        </w:rPr>
        <w:t>These rules apply independently of implementation technology.</w:t>
      </w:r>
    </w:p>
    <w:p>
      <w:pPr>
        <w:pStyle w:val="Heading1"/>
        <w:keepNext/>
        <w:widowControl/>
      </w:pPr>
      <w:r>
        <w:rPr>
          <w:rFonts w:ascii="Aptos Display" w:hAnsi="Aptos Display" w:eastAsia="Aptos Display" w:cs="Aptos Display"/>
          <w:color w:val="FFFFFF"/>
          <w:sz w:val="34"/>
        </w:rPr>
        <w:t>32. Governance Flow</w:t>
      </w:r>
    </w:p>
    <w:p>
      <w:r>
        <w:rPr>
          <w:rFonts w:ascii="Aptos" w:hAnsi="Aptos" w:eastAsia="Aptos" w:cs="Aptos"/>
          <w:color w:val="15191B"/>
          <w:sz w:val="21"/>
        </w:rPr>
        <w:t>The proposed governance sequence is:</w:t>
      </w:r>
    </w:p>
    <w:p>
      <w:pPr>
        <w:pStyle w:val="CodeBlock"/>
      </w:pPr>
      <w:r>
        <w:t>Institutional Authority</w:t>
        <w:br/>
        <w:t xml:space="preserve">        ↓</w:t>
        <w:br/>
        <w:t>Typed Relationship</w:t>
        <w:br/>
        <w:t xml:space="preserve">        ↓</w:t>
        <w:br/>
        <w:t>Institutional Sovereignty Firewall</w:t>
        <w:br/>
        <w:t xml:space="preserve">        ↓</w:t>
        <w:br/>
        <w:t>Pre-Disclosure Evidence Infrastructure</w:t>
        <w:br/>
        <w:t xml:space="preserve">        ↓</w:t>
        <w:br/>
        <w:t>Interpretive Firewall</w:t>
        <w:br/>
        <w:t xml:space="preserve">        ↓</w:t>
        <w:br/>
        <w:t>Machine-Readable Relationships</w:t>
        <w:br/>
        <w:t xml:space="preserve">        ↓</w:t>
        <w:br/>
        <w:t>Machine Interpretation Firewall</w:t>
        <w:br/>
        <w:t xml:space="preserve">        ↓</w:t>
        <w:br/>
        <w:t>AI Agent / Search / Retrieval</w:t>
        <w:br/>
        <w:t xml:space="preserve">        ↓</w:t>
        <w:br/>
        <w:t>Human or Institutional Decision</w:t>
      </w:r>
    </w:p>
    <w:p>
      <w:r>
        <w:rPr>
          <w:rFonts w:ascii="Aptos" w:hAnsi="Aptos" w:eastAsia="Aptos" w:cs="Aptos"/>
          <w:color w:val="15191B"/>
          <w:sz w:val="21"/>
        </w:rPr>
        <w:t>Automation does not eliminate the final decision owner.</w:t>
      </w:r>
    </w:p>
    <w:p>
      <w:pPr>
        <w:pStyle w:val="Heading1"/>
        <w:keepNext/>
        <w:widowControl/>
      </w:pPr>
      <w:r>
        <w:rPr>
          <w:rFonts w:ascii="Aptos Display" w:hAnsi="Aptos Display" w:eastAsia="Aptos Display" w:cs="Aptos Display"/>
          <w:color w:val="FFFFFF"/>
          <w:sz w:val="34"/>
        </w:rPr>
        <w:t>33. Interoperability Without Authority Transfer</w:t>
      </w:r>
    </w:p>
    <w:p>
      <w:r>
        <w:rPr>
          <w:rFonts w:ascii="Aptos" w:hAnsi="Aptos" w:eastAsia="Aptos" w:cs="Aptos"/>
          <w:color w:val="15191B"/>
          <w:sz w:val="21"/>
        </w:rPr>
        <w:t>Mature interoperability should not seek to collapse institutions into a single system.</w:t>
      </w:r>
    </w:p>
    <w:p>
      <w:r>
        <w:rPr>
          <w:rFonts w:ascii="Aptos" w:hAnsi="Aptos" w:eastAsia="Aptos" w:cs="Aptos"/>
          <w:color w:val="15191B"/>
          <w:sz w:val="21"/>
        </w:rPr>
        <w:t>It should seek to:</w:t>
      </w:r>
    </w:p>
    <w:p>
      <w:pPr>
        <w:ind w:left="567" w:right="567"/>
        <w:jc w:val="center"/>
      </w:pPr>
      <w:r>
        <w:rPr>
          <w:rFonts w:ascii="Aptos Display" w:hAnsi="Aptos Display" w:eastAsia="Aptos Display" w:cs="Aptos Display"/>
          <w:b/>
          <w:color w:val="0A2F40"/>
          <w:sz w:val="24"/>
        </w:rPr>
        <w:t>Reuse evidence without collapsing authority.</w:t>
      </w:r>
    </w:p>
    <w:p>
      <w:r>
        <w:rPr>
          <w:rFonts w:ascii="Aptos" w:hAnsi="Aptos" w:eastAsia="Aptos" w:cs="Aptos"/>
          <w:color w:val="15191B"/>
          <w:sz w:val="21"/>
        </w:rPr>
        <w:t>Evidence may be reused across institutional contexts.</w:t>
      </w:r>
    </w:p>
    <w:p>
      <w:r>
        <w:rPr>
          <w:rFonts w:ascii="Aptos" w:hAnsi="Aptos" w:eastAsia="Aptos" w:cs="Aptos"/>
          <w:color w:val="15191B"/>
          <w:sz w:val="21"/>
        </w:rPr>
        <w:t>However, each framework, standard, jurisdiction, or governance regime retains its own:</w:t>
      </w:r>
    </w:p>
    <w:p>
      <w:pPr>
        <w:pStyle w:val="ListBullet"/>
      </w:pPr>
      <w:r>
        <w:rPr>
          <w:rFonts w:ascii="Aptos" w:hAnsi="Aptos" w:eastAsia="Aptos" w:cs="Aptos"/>
          <w:color w:val="15191B"/>
          <w:sz w:val="21"/>
        </w:rPr>
        <w:t>materiality logic;</w:t>
      </w:r>
    </w:p>
    <w:p>
      <w:pPr>
        <w:pStyle w:val="ListBullet"/>
      </w:pPr>
      <w:r>
        <w:rPr>
          <w:rFonts w:ascii="Aptos" w:hAnsi="Aptos" w:eastAsia="Aptos" w:cs="Aptos"/>
          <w:color w:val="15191B"/>
          <w:sz w:val="21"/>
        </w:rPr>
        <w:t>legal effect;</w:t>
      </w:r>
    </w:p>
    <w:p>
      <w:pPr>
        <w:pStyle w:val="ListBullet"/>
      </w:pPr>
      <w:r>
        <w:rPr>
          <w:rFonts w:ascii="Aptos" w:hAnsi="Aptos" w:eastAsia="Aptos" w:cs="Aptos"/>
          <w:color w:val="15191B"/>
          <w:sz w:val="21"/>
        </w:rPr>
        <w:t>decision rights;</w:t>
      </w:r>
    </w:p>
    <w:p>
      <w:pPr>
        <w:pStyle w:val="ListBullet"/>
      </w:pPr>
      <w:r>
        <w:rPr>
          <w:rFonts w:ascii="Aptos" w:hAnsi="Aptos" w:eastAsia="Aptos" w:cs="Aptos"/>
          <w:color w:val="15191B"/>
          <w:sz w:val="21"/>
        </w:rPr>
        <w:t>scope;</w:t>
      </w:r>
    </w:p>
    <w:p>
      <w:pPr>
        <w:pStyle w:val="ListBullet"/>
      </w:pPr>
      <w:r>
        <w:rPr>
          <w:rFonts w:ascii="Aptos" w:hAnsi="Aptos" w:eastAsia="Aptos" w:cs="Aptos"/>
          <w:color w:val="15191B"/>
          <w:sz w:val="21"/>
        </w:rPr>
        <w:t>terminology; and</w:t>
      </w:r>
    </w:p>
    <w:p>
      <w:pPr>
        <w:pStyle w:val="ListBullet"/>
      </w:pPr>
      <w:r>
        <w:rPr>
          <w:rFonts w:ascii="Aptos" w:hAnsi="Aptos" w:eastAsia="Aptos" w:cs="Aptos"/>
          <w:color w:val="15191B"/>
          <w:sz w:val="21"/>
        </w:rPr>
        <w:t>assurance consequences.</w:t>
      </w:r>
    </w:p>
    <w:p>
      <w:r>
        <w:rPr>
          <w:rFonts w:ascii="Aptos" w:hAnsi="Aptos" w:eastAsia="Aptos" w:cs="Aptos"/>
          <w:color w:val="15191B"/>
          <w:sz w:val="21"/>
        </w:rPr>
        <w:t>Interoperability is not merger.</w:t>
      </w:r>
    </w:p>
    <w:p>
      <w:r>
        <w:rPr>
          <w:rFonts w:ascii="Aptos" w:hAnsi="Aptos" w:eastAsia="Aptos" w:cs="Aptos"/>
          <w:color w:val="15191B"/>
          <w:sz w:val="21"/>
        </w:rPr>
        <w:t>Interoperability is not equivalence.</w:t>
      </w:r>
    </w:p>
    <w:p>
      <w:r>
        <w:rPr>
          <w:rFonts w:ascii="Aptos" w:hAnsi="Aptos" w:eastAsia="Aptos" w:cs="Aptos"/>
          <w:color w:val="15191B"/>
          <w:sz w:val="21"/>
        </w:rPr>
        <w:t>Interoperability is not authority inheritance.</w:t>
      </w:r>
    </w:p>
    <w:p>
      <w:pPr>
        <w:pStyle w:val="Heading1"/>
        <w:keepNext/>
        <w:widowControl/>
      </w:pPr>
      <w:r>
        <w:rPr>
          <w:rFonts w:ascii="Aptos Display" w:hAnsi="Aptos Display" w:eastAsia="Aptos Display" w:cs="Aptos Display"/>
          <w:color w:val="FFFFFF"/>
          <w:sz w:val="34"/>
        </w:rPr>
        <w:t>34. From Machine-Readable to Machine-Bounded</w:t>
      </w:r>
    </w:p>
    <w:p>
      <w:r>
        <w:rPr>
          <w:rFonts w:ascii="Aptos" w:hAnsi="Aptos" w:eastAsia="Aptos" w:cs="Aptos"/>
          <w:color w:val="15191B"/>
          <w:sz w:val="21"/>
        </w:rPr>
        <w:t>Institutional digitalisation should not stop at:</w:t>
      </w:r>
    </w:p>
    <w:p>
      <w:r>
        <w:rPr>
          <w:rFonts w:ascii="Aptos" w:hAnsi="Aptos" w:eastAsia="Aptos" w:cs="Aptos"/>
          <w:b/>
          <w:color w:val="15191B"/>
          <w:sz w:val="21"/>
        </w:rPr>
        <w:t>Machine-Readable</w:t>
      </w:r>
    </w:p>
    <w:p>
      <w:r>
        <w:rPr>
          <w:rFonts w:ascii="Aptos" w:hAnsi="Aptos" w:eastAsia="Aptos" w:cs="Aptos"/>
          <w:color w:val="15191B"/>
          <w:sz w:val="21"/>
        </w:rPr>
        <w:t>nor at:</w:t>
      </w:r>
    </w:p>
    <w:p>
      <w:r>
        <w:rPr>
          <w:rFonts w:ascii="Aptos" w:hAnsi="Aptos" w:eastAsia="Aptos" w:cs="Aptos"/>
          <w:b/>
          <w:color w:val="15191B"/>
          <w:sz w:val="21"/>
        </w:rPr>
        <w:t>Machine-Verifiable</w:t>
      </w:r>
    </w:p>
    <w:p>
      <w:r>
        <w:rPr>
          <w:rFonts w:ascii="Aptos" w:hAnsi="Aptos" w:eastAsia="Aptos" w:cs="Aptos"/>
          <w:color w:val="15191B"/>
          <w:sz w:val="21"/>
        </w:rPr>
        <w:t>It must also become:</w:t>
      </w:r>
    </w:p>
    <w:p>
      <w:pPr>
        <w:pStyle w:val="Heading1"/>
        <w:keepNext/>
        <w:widowControl/>
      </w:pPr>
      <w:r>
        <w:rPr>
          <w:rFonts w:ascii="Aptos Display" w:hAnsi="Aptos Display" w:eastAsia="Aptos Display" w:cs="Aptos Display"/>
          <w:color w:val="FFFFFF"/>
          <w:sz w:val="34"/>
        </w:rPr>
        <w:t>Machine-Bounded</w:t>
      </w:r>
    </w:p>
    <w:p>
      <w:r>
        <w:rPr>
          <w:rFonts w:ascii="Aptos" w:hAnsi="Aptos" w:eastAsia="Aptos" w:cs="Aptos"/>
          <w:color w:val="15191B"/>
          <w:sz w:val="21"/>
        </w:rPr>
        <w:t>A machine-bounded institutional system enables a machine to determine:</w:t>
      </w:r>
    </w:p>
    <w:p>
      <w:pPr>
        <w:pStyle w:val="ListBullet"/>
      </w:pPr>
      <w:r>
        <w:rPr>
          <w:rFonts w:ascii="Aptos" w:hAnsi="Aptos" w:eastAsia="Aptos" w:cs="Aptos"/>
          <w:color w:val="15191B"/>
          <w:sz w:val="21"/>
        </w:rPr>
        <w:t>what may be inferred;</w:t>
      </w:r>
    </w:p>
    <w:p>
      <w:pPr>
        <w:pStyle w:val="ListBullet"/>
      </w:pPr>
      <w:r>
        <w:rPr>
          <w:rFonts w:ascii="Aptos" w:hAnsi="Aptos" w:eastAsia="Aptos" w:cs="Aptos"/>
          <w:color w:val="15191B"/>
          <w:sz w:val="21"/>
        </w:rPr>
        <w:t>what may not be inferred;</w:t>
      </w:r>
    </w:p>
    <w:p>
      <w:pPr>
        <w:pStyle w:val="ListBullet"/>
      </w:pPr>
      <w:r>
        <w:rPr>
          <w:rFonts w:ascii="Aptos" w:hAnsi="Aptos" w:eastAsia="Aptos" w:cs="Aptos"/>
          <w:color w:val="15191B"/>
          <w:sz w:val="21"/>
        </w:rPr>
        <w:t>which relationship exists;</w:t>
      </w:r>
    </w:p>
    <w:p>
      <w:pPr>
        <w:pStyle w:val="ListBullet"/>
      </w:pPr>
      <w:r>
        <w:rPr>
          <w:rFonts w:ascii="Aptos" w:hAnsi="Aptos" w:eastAsia="Aptos" w:cs="Aptos"/>
          <w:color w:val="15191B"/>
          <w:sz w:val="21"/>
        </w:rPr>
        <w:t>which stronger relationship does not exist;</w:t>
      </w:r>
    </w:p>
    <w:p>
      <w:pPr>
        <w:pStyle w:val="ListBullet"/>
      </w:pPr>
      <w:r>
        <w:rPr>
          <w:rFonts w:ascii="Aptos" w:hAnsi="Aptos" w:eastAsia="Aptos" w:cs="Aptos"/>
          <w:color w:val="15191B"/>
          <w:sz w:val="21"/>
        </w:rPr>
        <w:t>which version is effective;</w:t>
      </w:r>
    </w:p>
    <w:p>
      <w:pPr>
        <w:pStyle w:val="ListBullet"/>
      </w:pPr>
      <w:r>
        <w:rPr>
          <w:rFonts w:ascii="Aptos" w:hAnsi="Aptos" w:eastAsia="Aptos" w:cs="Aptos"/>
          <w:color w:val="15191B"/>
          <w:sz w:val="21"/>
        </w:rPr>
        <w:t>which authority is retained by which institution; and</w:t>
      </w:r>
    </w:p>
    <w:p>
      <w:pPr>
        <w:pStyle w:val="ListBullet"/>
      </w:pPr>
      <w:r>
        <w:rPr>
          <w:rFonts w:ascii="Aptos" w:hAnsi="Aptos" w:eastAsia="Aptos" w:cs="Aptos"/>
          <w:color w:val="15191B"/>
          <w:sz w:val="21"/>
        </w:rPr>
        <w:t>who remains the final decision owner.</w:t>
      </w:r>
    </w:p>
    <w:p>
      <w:r>
        <w:rPr>
          <w:rFonts w:ascii="Aptos" w:hAnsi="Aptos" w:eastAsia="Aptos" w:cs="Aptos"/>
          <w:color w:val="15191B"/>
          <w:sz w:val="21"/>
        </w:rPr>
        <w:t>Machine-readable infrastructure describes information.</w:t>
      </w:r>
    </w:p>
    <w:p>
      <w:r>
        <w:rPr>
          <w:rFonts w:ascii="Aptos" w:hAnsi="Aptos" w:eastAsia="Aptos" w:cs="Aptos"/>
          <w:color w:val="15191B"/>
          <w:sz w:val="21"/>
        </w:rPr>
        <w:t>Machine-bounded infrastructure constrains interpretation.</w:t>
      </w:r>
    </w:p>
    <w:p>
      <w:pPr>
        <w:pStyle w:val="Heading1"/>
        <w:keepNext/>
        <w:widowControl/>
      </w:pPr>
      <w:r>
        <w:rPr>
          <w:rFonts w:ascii="Aptos Display" w:hAnsi="Aptos Display" w:eastAsia="Aptos Display" w:cs="Aptos Display"/>
          <w:color w:val="FFFFFF"/>
          <w:sz w:val="34"/>
        </w:rPr>
        <w:t>35. Canonical Doctrine</w:t>
      </w:r>
    </w:p>
    <w:p>
      <w:r>
        <w:rPr>
          <w:rFonts w:ascii="Aptos" w:hAnsi="Aptos" w:eastAsia="Aptos" w:cs="Aptos"/>
          <w:color w:val="15191B"/>
          <w:sz w:val="21"/>
        </w:rPr>
        <w:t>The following statements constitute the canonical doctrine of this paper:</w:t>
      </w:r>
    </w:p>
    <w:p>
      <w:pPr>
        <w:ind w:left="567" w:right="567"/>
        <w:jc w:val="center"/>
      </w:pPr>
      <w:r>
        <w:rPr>
          <w:rFonts w:ascii="Aptos Display" w:hAnsi="Aptos Display" w:eastAsia="Aptos Display" w:cs="Aptos Display"/>
          <w:b/>
          <w:color w:val="0A2F40"/>
          <w:sz w:val="24"/>
        </w:rPr>
        <w:t>Institutional authority is non-transitive.</w:t>
      </w:r>
    </w:p>
    <w:p>
      <w:pPr>
        <w:ind w:left="567" w:right="567"/>
        <w:jc w:val="center"/>
      </w:pPr>
      <w:r>
        <w:rPr>
          <w:rFonts w:ascii="Aptos Display" w:hAnsi="Aptos Display" w:eastAsia="Aptos Display" w:cs="Aptos Display"/>
          <w:b/>
          <w:color w:val="0A2F40"/>
          <w:sz w:val="24"/>
        </w:rPr>
        <w:t>Relationship does not imply authority transfer.</w:t>
      </w:r>
    </w:p>
    <w:p>
      <w:pPr>
        <w:ind w:left="567" w:right="567"/>
        <w:jc w:val="center"/>
      </w:pPr>
      <w:r>
        <w:rPr>
          <w:rFonts w:ascii="Aptos Display" w:hAnsi="Aptos Display" w:eastAsia="Aptos Display" w:cs="Aptos Display"/>
          <w:b/>
          <w:color w:val="0A2F40"/>
          <w:sz w:val="24"/>
        </w:rPr>
        <w:t>Machine inference does not constitute institutional judgment.</w:t>
      </w:r>
    </w:p>
    <w:p>
      <w:pPr>
        <w:ind w:left="567" w:right="567"/>
        <w:jc w:val="center"/>
      </w:pPr>
      <w:r>
        <w:rPr>
          <w:rFonts w:ascii="Aptos Display" w:hAnsi="Aptos Display" w:eastAsia="Aptos Display" w:cs="Aptos Display"/>
          <w:b/>
          <w:color w:val="0A2F40"/>
          <w:sz w:val="24"/>
        </w:rPr>
        <w:t>Reuse the evidence. Preserve the authority boundary.</w:t>
      </w:r>
    </w:p>
    <w:p>
      <w:pPr>
        <w:ind w:left="567" w:right="567"/>
        <w:jc w:val="center"/>
      </w:pPr>
      <w:r>
        <w:rPr>
          <w:rFonts w:ascii="Aptos Display" w:hAnsi="Aptos Display" w:eastAsia="Aptos Display" w:cs="Aptos Display"/>
          <w:b/>
          <w:color w:val="0A2F40"/>
          <w:sz w:val="24"/>
        </w:rPr>
        <w:t>Relationships may be machine-readable. Authority must remain machine-bounded.</w:t>
      </w:r>
    </w:p>
    <w:p>
      <w:pPr>
        <w:ind w:left="567" w:right="567"/>
        <w:jc w:val="center"/>
      </w:pPr>
      <w:r>
        <w:rPr>
          <w:rFonts w:ascii="Aptos Display" w:hAnsi="Aptos Display" w:eastAsia="Aptos Display" w:cs="Aptos Display"/>
          <w:b/>
          <w:color w:val="0A2F40"/>
          <w:sz w:val="24"/>
        </w:rPr>
        <w:t>Evidence may travel. Authority does not.</w:t>
      </w:r>
    </w:p>
    <w:p>
      <w:r>
        <w:rPr>
          <w:rFonts w:ascii="Aptos" w:hAnsi="Aptos" w:eastAsia="Aptos" w:cs="Aptos"/>
          <w:color w:val="15191B"/>
          <w:sz w:val="21"/>
        </w:rPr>
        <w:t>These statements should retain consistent wording across derived machine-readable representations.</w:t>
      </w:r>
    </w:p>
    <w:p>
      <w:pPr>
        <w:pStyle w:val="Heading1"/>
        <w:keepNext/>
        <w:widowControl/>
      </w:pPr>
      <w:r>
        <w:rPr>
          <w:rFonts w:ascii="Aptos Display" w:hAnsi="Aptos Display" w:eastAsia="Aptos Display" w:cs="Aptos Display"/>
          <w:color w:val="FFFFFF"/>
          <w:sz w:val="34"/>
        </w:rPr>
        <w:t>36. Self-Application of the Firewall</w:t>
      </w:r>
    </w:p>
    <w:p>
      <w:r>
        <w:rPr>
          <w:rFonts w:ascii="Aptos" w:hAnsi="Aptos" w:eastAsia="Aptos" w:cs="Aptos"/>
          <w:color w:val="15191B"/>
          <w:sz w:val="21"/>
        </w:rPr>
        <w:t>This paper is itself subject to the principles it proposes.</w:t>
      </w:r>
    </w:p>
    <w:p>
      <w:r>
        <w:rPr>
          <w:rFonts w:ascii="Aptos" w:hAnsi="Aptos" w:eastAsia="Aptos" w:cs="Aptos"/>
          <w:color w:val="15191B"/>
          <w:sz w:val="21"/>
        </w:rPr>
        <w:t>Its canonical metadata should state:</w:t>
      </w:r>
    </w:p>
    <w:p>
      <w:pPr>
        <w:pStyle w:val="CodeBlock"/>
      </w:pPr>
      <w:r>
        <w:t>document_id:</w:t>
        <w:br/>
        <w:t>EMJ-FIREWALL-CD-20260921</w:t>
        <w:br/>
        <w:br/>
        <w:t>publication_type:</w:t>
        <w:br/>
        <w:t>Institutional Analytical Paper</w:t>
        <w:br/>
        <w:br/>
        <w:t>canonical_url:</w:t>
        <w:br/>
        <w:t>https://www.emj.life/publication-authority-firewall</w:t>
        <w:br/>
        <w:br/>
        <w:t>metadata_url:</w:t>
        <w:br/>
        <w:t>https://www.emj.life/publication-authority-firewall/metadata.json</w:t>
        <w:br/>
        <w:br/>
        <w:t>doi_registration_status:</w:t>
        <w:br/>
        <w:t>pending_registration</w:t>
        <w:br/>
        <w:br/>
        <w:t>public_machine_access:</w:t>
        <w:br/>
        <w:t>retrieval_and_citation_only</w:t>
        <w:br/>
        <w:br/>
        <w:t>public_reuse_licence:</w:t>
        <w:br/>
        <w:t>not_asserted</w:t>
        <w:br/>
        <w:br/>
        <w:t>official_standard:</w:t>
        <w:br/>
        <w:t>false</w:t>
        <w:br/>
        <w:br/>
        <w:t>regulatory_guidance:</w:t>
        <w:br/>
        <w:t>false</w:t>
        <w:br/>
        <w:br/>
        <w:t>peer_reviewed:</w:t>
        <w:br/>
        <w:t>false</w:t>
        <w:br/>
        <w:br/>
        <w:t>assurance_opinion:</w:t>
        <w:br/>
        <w:t>false</w:t>
        <w:br/>
        <w:br/>
        <w:t>certification:</w:t>
        <w:br/>
        <w:t>false</w:t>
        <w:br/>
        <w:br/>
        <w:t>endorsement:</w:t>
        <w:br/>
        <w:t>false</w:t>
        <w:br/>
        <w:br/>
        <w:t>delegated_standard_setting_authority:</w:t>
        <w:br/>
        <w:t>false</w:t>
        <w:br/>
        <w:br/>
        <w:t>relationship_assertion_scope:</w:t>
        <w:br/>
        <w:t>explicit_statement_only</w:t>
        <w:br/>
        <w:br/>
        <w:t>relationship_inference_extension:</w:t>
        <w:br/>
        <w:t>prohibited_without_separate_evidence</w:t>
        <w:br/>
        <w:br/>
        <w:t>authority_transfer:</w:t>
        <w:br/>
        <w:t>false</w:t>
        <w:br/>
        <w:br/>
        <w:t>independent_validation:</w:t>
        <w:br/>
        <w:t>not_claimed</w:t>
        <w:br/>
        <w:br/>
        <w:t>model_training_authorization:</w:t>
        <w:br/>
        <w:t>not_granted_by_this_publication</w:t>
        <w:br/>
        <w:br/>
        <w:t>bulk_extraction_authorization:</w:t>
        <w:br/>
        <w:t>not_granted_by_this_publication</w:t>
        <w:br/>
        <w:br/>
        <w:t>corpus_replication_authorization:</w:t>
        <w:br/>
        <w:t>not_granted_by_this_publication</w:t>
        <w:br/>
        <w:br/>
        <w:t>automated_institutional_action_authorization:</w:t>
        <w:br/>
        <w:t>not_granted_by_this_publication</w:t>
        <w:br/>
        <w:br/>
        <w:t>restricted_evidence_access:</w:t>
        <w:br/>
        <w:t>false</w:t>
        <w:br/>
        <w:br/>
        <w:t>relationship_to_firewall_cd:</w:t>
        <w:br/>
        <w:t>analytical_companion</w:t>
        <w:br/>
        <w:br/>
        <w:t>firewall_cd_document_id:</w:t>
        <w:br/>
        <w:t>GWP00</w:t>
        <w:br/>
        <w:br/>
        <w:t>firewall_cd_doi:</w:t>
        <w:br/>
        <w:t>10.64969/emj.nexus.firewall.2026.01.01</w:t>
        <w:br/>
        <w:br/>
        <w:t>firewall_cd_canonical_url:</w:t>
        <w:br/>
        <w:t>https://www.emj.life/publication-firewall</w:t>
        <w:br/>
        <w:br/>
        <w:t>relationship_to_mwp04_aiedsm:</w:t>
        <w:br/>
        <w:t>analytical_companion</w:t>
        <w:br/>
        <w:br/>
        <w:t>mwp04_aiedsm_doi:</w:t>
        <w:br/>
        <w:t>10.64969/emj.mwp04.aiedsm.2026.v1.0</w:t>
        <w:br/>
        <w:br/>
        <w:t>modifies_firewall_cd:</w:t>
        <w:br/>
        <w:t>false</w:t>
        <w:br/>
        <w:br/>
        <w:t>supersedes_firewall_cd:</w:t>
        <w:br/>
        <w:t>false</w:t>
        <w:br/>
        <w:br/>
        <w:t>replaces_firewall_cd:</w:t>
        <w:br/>
        <w:t>false</w:t>
      </w:r>
    </w:p>
    <w:p>
      <w:r>
        <w:rPr>
          <w:rFonts w:ascii="Aptos" w:hAnsi="Aptos" w:eastAsia="Aptos" w:cs="Aptos"/>
          <w:color w:val="15191B"/>
          <w:sz w:val="21"/>
        </w:rPr>
        <w:t>The publication therefore does not acquire institutional authority beyond its actual publication role merely because it is structured, cited, registered, retrieved, or incorporated into a knowledge graph.</w:t>
      </w:r>
    </w:p>
    <w:p>
      <w:pPr>
        <w:pStyle w:val="Heading1"/>
        <w:keepNext/>
        <w:widowControl/>
      </w:pPr>
      <w:r>
        <w:rPr>
          <w:rFonts w:ascii="Aptos Display" w:hAnsi="Aptos Display" w:eastAsia="Aptos Display" w:cs="Aptos Display"/>
          <w:color w:val="FFFFFF"/>
          <w:sz w:val="34"/>
        </w:rPr>
        <w:t>37. Canonical Relationship to Firewall-CD</w:t>
      </w:r>
    </w:p>
    <w:p>
      <w:r>
        <w:rPr>
          <w:rFonts w:ascii="Aptos" w:hAnsi="Aptos" w:eastAsia="Aptos" w:cs="Aptos"/>
          <w:color w:val="15191B"/>
          <w:sz w:val="21"/>
        </w:rPr>
        <w:t>This paper is an analytical companion to Firewall-CD, Document ID GWP00, DOI 10.64969/emj.nexus.firewall.2026.01.01, canonical URL https://www.emj.life/publication-firewall. It does not amend, replace, supersede, or inherit the constitutional authority of Firewall-CD.</w:t>
      </w:r>
    </w:p>
    <w:p>
      <w:pPr/>
      <w:r>
        <w:t>This paper is also an analytical companion to MWP04-AIEDSM, DOI 10.64969/emj.mwp04.aiedsm.2026.v1.0. It does not amend, replace, supersede, or inherit the methodological authority of MWP04-AIEDSM.</w:t>
      </w:r>
    </w:p>
    <w:p>
      <w:r>
        <w:rPr>
          <w:rFonts w:ascii="Aptos" w:hAnsi="Aptos" w:eastAsia="Aptos" w:cs="Aptos"/>
          <w:color w:val="15191B"/>
          <w:sz w:val="21"/>
        </w:rPr>
        <w:t>The formal relationship to Firewall-CD is:</w:t>
      </w:r>
    </w:p>
    <w:p>
      <w:pPr>
        <w:pStyle w:val="CodeBlock"/>
      </w:pPr>
      <w:r>
        <w:t>relationship_type: analytical_companion_to</w:t>
        <w:br/>
        <w:t>related_document_id: GWP00</w:t>
        <w:br/>
        <w:t>related_doi: 10.64969/emj.nexus.firewall.2026.01.01</w:t>
        <w:br/>
        <w:t>related_canonical_url: https://www.emj.life/publication-firewall</w:t>
        <w:br/>
        <w:t>authority_transfer: false</w:t>
      </w:r>
    </w:p>
    <w:p>
      <w:r>
        <w:rPr>
          <w:rFonts w:ascii="Aptos" w:hAnsi="Aptos" w:eastAsia="Aptos" w:cs="Aptos"/>
          <w:color w:val="15191B"/>
          <w:sz w:val="21"/>
        </w:rPr>
        <w:t>The relationship must also preserve:</w:t>
      </w:r>
    </w:p>
    <w:p>
      <w:pPr>
        <w:pStyle w:val="CodeBlock"/>
      </w:pPr>
      <w:r>
        <w:t>modifies: false</w:t>
        <w:br/>
        <w:t>supersedes: false</w:t>
        <w:br/>
        <w:t>replaces: false</w:t>
        <w:br/>
        <w:t>inherits_constitutional_authority: false</w:t>
      </w:r>
    </w:p>
    <w:p>
      <w:r>
        <w:rPr>
          <w:rFonts w:ascii="Aptos" w:hAnsi="Aptos" w:eastAsia="Aptos" w:cs="Aptos"/>
          <w:color w:val="15191B"/>
          <w:sz w:val="21"/>
        </w:rPr>
        <w:t>This prevents a machine from interpreting this paper as a revised, substituted, or superseding version of Firewall-CD.</w:t>
      </w:r>
    </w:p>
    <w:p>
      <w:pPr>
        <w:pStyle w:val="Heading1"/>
        <w:keepNext/>
        <w:widowControl/>
      </w:pPr>
      <w:r>
        <w:rPr>
          <w:rFonts w:ascii="Aptos Display" w:hAnsi="Aptos Display" w:eastAsia="Aptos Display" w:cs="Aptos Display"/>
          <w:color w:val="FFFFFF"/>
          <w:sz w:val="34"/>
        </w:rPr>
        <w:t>38. Conclusion</w:t>
      </w:r>
    </w:p>
    <w:p>
      <w:r>
        <w:rPr>
          <w:rFonts w:ascii="Aptos" w:hAnsi="Aptos" w:eastAsia="Aptos" w:cs="Aptos"/>
          <w:color w:val="15191B"/>
          <w:sz w:val="21"/>
        </w:rPr>
        <w:t>The next stage of institutional digital infrastructure cannot be measured only by:</w:t>
      </w:r>
    </w:p>
    <w:p>
      <w:pPr>
        <w:pStyle w:val="ListBullet"/>
      </w:pPr>
      <w:r>
        <w:rPr>
          <w:rFonts w:ascii="Aptos" w:hAnsi="Aptos" w:eastAsia="Aptos" w:cs="Aptos"/>
          <w:color w:val="15191B"/>
          <w:sz w:val="21"/>
        </w:rPr>
        <w:t>data volume;</w:t>
      </w:r>
    </w:p>
    <w:p>
      <w:pPr>
        <w:pStyle w:val="ListBullet"/>
      </w:pPr>
      <w:r>
        <w:rPr>
          <w:rFonts w:ascii="Aptos" w:hAnsi="Aptos" w:eastAsia="Aptos" w:cs="Aptos"/>
          <w:color w:val="15191B"/>
          <w:sz w:val="21"/>
        </w:rPr>
        <w:t>API availability;</w:t>
      </w:r>
    </w:p>
    <w:p>
      <w:pPr>
        <w:pStyle w:val="ListBullet"/>
      </w:pPr>
      <w:r>
        <w:rPr>
          <w:rFonts w:ascii="Aptos" w:hAnsi="Aptos" w:eastAsia="Aptos" w:cs="Aptos"/>
          <w:color w:val="15191B"/>
          <w:sz w:val="21"/>
        </w:rPr>
        <w:t>graph density;</w:t>
      </w:r>
    </w:p>
    <w:p>
      <w:pPr>
        <w:pStyle w:val="ListBullet"/>
      </w:pPr>
      <w:r>
        <w:rPr>
          <w:rFonts w:ascii="Aptos" w:hAnsi="Aptos" w:eastAsia="Aptos" w:cs="Aptos"/>
          <w:color w:val="15191B"/>
          <w:sz w:val="21"/>
        </w:rPr>
        <w:t>retrieval frequency;</w:t>
      </w:r>
    </w:p>
    <w:p>
      <w:pPr>
        <w:pStyle w:val="ListBullet"/>
      </w:pPr>
      <w:r>
        <w:rPr>
          <w:rFonts w:ascii="Aptos" w:hAnsi="Aptos" w:eastAsia="Aptos" w:cs="Aptos"/>
          <w:color w:val="15191B"/>
          <w:sz w:val="21"/>
        </w:rPr>
        <w:t>machine readability; or</w:t>
      </w:r>
    </w:p>
    <w:p>
      <w:pPr>
        <w:pStyle w:val="ListBullet"/>
      </w:pPr>
      <w:r>
        <w:rPr>
          <w:rFonts w:ascii="Aptos" w:hAnsi="Aptos" w:eastAsia="Aptos" w:cs="Aptos"/>
          <w:color w:val="15191B"/>
          <w:sz w:val="21"/>
        </w:rPr>
        <w:t>GEO visibility.</w:t>
      </w:r>
    </w:p>
    <w:p>
      <w:r>
        <w:rPr>
          <w:rFonts w:ascii="Aptos" w:hAnsi="Aptos" w:eastAsia="Aptos" w:cs="Aptos"/>
          <w:color w:val="15191B"/>
          <w:sz w:val="21"/>
        </w:rPr>
        <w:t>Mature institutional infrastructure must protect:</w:t>
      </w:r>
    </w:p>
    <w:p>
      <w:r>
        <w:rPr>
          <w:rFonts w:ascii="Aptos" w:hAnsi="Aptos" w:eastAsia="Aptos" w:cs="Aptos"/>
          <w:b/>
          <w:color w:val="15191B"/>
          <w:sz w:val="21"/>
        </w:rPr>
        <w:t>Data Integrity</w:t>
      </w:r>
    </w:p>
    <w:p>
      <w:r>
        <w:rPr>
          <w:rFonts w:ascii="Aptos" w:hAnsi="Aptos" w:eastAsia="Aptos" w:cs="Aptos"/>
          <w:b/>
          <w:color w:val="15191B"/>
          <w:sz w:val="21"/>
        </w:rPr>
        <w:t>Evidence Integrity</w:t>
      </w:r>
    </w:p>
    <w:p>
      <w:r>
        <w:rPr>
          <w:rFonts w:ascii="Aptos" w:hAnsi="Aptos" w:eastAsia="Aptos" w:cs="Aptos"/>
          <w:color w:val="15191B"/>
          <w:sz w:val="21"/>
        </w:rPr>
        <w:t>and:</w:t>
      </w:r>
    </w:p>
    <w:p>
      <w:pPr>
        <w:pStyle w:val="Heading1"/>
        <w:keepNext/>
        <w:widowControl/>
      </w:pPr>
      <w:r>
        <w:rPr>
          <w:rFonts w:ascii="Aptos Display" w:hAnsi="Aptos Display" w:eastAsia="Aptos Display" w:cs="Aptos Display"/>
          <w:color w:val="FFFFFF"/>
          <w:sz w:val="34"/>
        </w:rPr>
        <w:t>Authority Integrity</w:t>
      </w:r>
    </w:p>
    <w:p>
      <w:r>
        <w:rPr>
          <w:rFonts w:ascii="Aptos" w:hAnsi="Aptos" w:eastAsia="Aptos" w:cs="Aptos"/>
          <w:color w:val="15191B"/>
          <w:sz w:val="21"/>
        </w:rPr>
        <w:t>Machine-readable relationships must never become an unintended mechanism for transferring institutional authority.</w:t>
      </w:r>
    </w:p>
    <w:p>
      <w:r>
        <w:rPr>
          <w:rFonts w:ascii="Aptos" w:hAnsi="Aptos" w:eastAsia="Aptos" w:cs="Aptos"/>
          <w:color w:val="15191B"/>
          <w:sz w:val="21"/>
        </w:rPr>
        <w:t>The final proposition of this paper is therefore:</w:t>
      </w:r>
    </w:p>
    <w:p>
      <w:pPr>
        <w:ind w:left="567" w:right="567"/>
        <w:jc w:val="center"/>
      </w:pPr>
      <w:r>
        <w:rPr>
          <w:rFonts w:ascii="Aptos Display" w:hAnsi="Aptos Display" w:eastAsia="Aptos Display" w:cs="Aptos Display"/>
          <w:b/>
          <w:color w:val="0A2F40"/>
          <w:sz w:val="24"/>
        </w:rPr>
        <w:t>Authority is not a property that travels with data.</w:t>
      </w:r>
    </w:p>
    <w:p>
      <w:r>
        <w:rPr>
          <w:rFonts w:ascii="Aptos" w:hAnsi="Aptos" w:eastAsia="Aptos" w:cs="Aptos"/>
          <w:color w:val="15191B"/>
          <w:sz w:val="21"/>
        </w:rPr>
        <w:t>and:</w:t>
      </w:r>
    </w:p>
    <w:p>
      <w:pPr>
        <w:ind w:left="567" w:right="567"/>
        <w:jc w:val="center"/>
      </w:pPr>
      <w:r>
        <w:rPr>
          <w:rFonts w:ascii="Aptos Display" w:hAnsi="Aptos Display" w:eastAsia="Aptos Display" w:cs="Aptos Display"/>
          <w:b/>
          <w:color w:val="0A2F40"/>
          <w:sz w:val="24"/>
        </w:rPr>
        <w:t>Evidence may travel. Authority does not.</w:t>
      </w:r>
    </w:p>
    <w:p>
      <w:r>
        <w:rPr>
          <w:rFonts w:ascii="Aptos" w:hAnsi="Aptos" w:eastAsia="Aptos" w:cs="Aptos"/>
          <w:color w:val="15191B"/>
          <w:sz w:val="21"/>
        </w:rPr>
        <w:t>The ability to move evidence across systems while preserving institutional sovereignty is a necessary condition for trustworthy machine-readable interoperability.</w:t>
      </w:r>
    </w:p>
    <w:p>
      <w:pPr>
        <w:pStyle w:val="Heading2"/>
        <w:keepNext/>
        <w:widowControl/>
      </w:pPr>
      <w:r>
        <w:rPr>
          <w:rFonts w:ascii="Aptos Display" w:hAnsi="Aptos Display" w:eastAsia="Aptos Display" w:cs="Aptos Display"/>
          <w:color w:val="0A2F40"/>
          <w:sz w:val="24"/>
        </w:rPr>
        <w:t>Canonical Citation</w:t>
      </w:r>
    </w:p>
    <w:p>
      <w:r>
        <w:rPr>
          <w:rFonts w:ascii="Aptos" w:hAnsi="Aptos" w:eastAsia="Aptos" w:cs="Aptos"/>
          <w:b/>
          <w:color w:val="15191B"/>
          <w:sz w:val="21"/>
        </w:rPr>
        <w:t>Yu, Anderson. (2026).</w:t>
      </w:r>
      <w:r>
        <w:rPr>
          <w:rFonts w:ascii="Aptos" w:hAnsi="Aptos" w:eastAsia="Aptos" w:cs="Aptos"/>
          <w:color w:val="15191B"/>
          <w:sz w:val="21"/>
        </w:rPr>
        <w:t xml:space="preserve"> </w:t>
      </w:r>
      <w:r>
        <w:rPr>
          <w:rFonts w:ascii="Aptos" w:hAnsi="Aptos" w:eastAsia="Aptos" w:cs="Aptos"/>
          <w:i/>
          <w:color w:val="15191B"/>
          <w:sz w:val="21"/>
        </w:rPr>
        <w:t>The Institutional Authority Firewall: Authority Non-Transitivity in Machine-Readable Evidence Infrastructure</w:t>
      </w:r>
      <w:r>
        <w:rPr>
          <w:rFonts w:ascii="Aptos" w:hAnsi="Aptos" w:eastAsia="Aptos" w:cs="Aptos"/>
          <w:color w:val="15191B"/>
          <w:sz w:val="21"/>
        </w:rPr>
        <w:t xml:space="preserve">. EMJ.LIFE Institutional Analytical Paper. </w:t>
      </w:r>
      <w:hyperlink r:id="rId9">
        <w:r>
          <w:rPr>
            <w:color w:val="176B87"/>
            <w:u w:val="single"/>
          </w:rPr>
          <w:t>https://doi.org/10.64969/emj.firewall.cd.2026.09.21</w:t>
        </w:r>
      </w:hyperlink>
    </w:p>
    <w:p>
      <w:pPr>
        <w:pStyle w:val="Heading2"/>
        <w:keepNext/>
        <w:widowControl/>
      </w:pPr>
      <w:r>
        <w:rPr>
          <w:rFonts w:ascii="Aptos Display" w:hAnsi="Aptos Display" w:eastAsia="Aptos Display" w:cs="Aptos Display"/>
          <w:color w:val="0A2F40"/>
          <w:sz w:val="24"/>
        </w:rPr>
        <w:t>Canonical Publication Metadata</w:t>
      </w:r>
    </w:p>
    <w:p>
      <w:pPr>
        <w:pStyle w:val="CodeBlock"/>
      </w:pPr>
      <w:r>
        <w:t>document_id:</w:t>
        <w:br/>
        <w:t>EMJ-FIREWALL-CD-20260921</w:t>
        <w:br/>
        <w:t>title:</w:t>
        <w:br/>
        <w:t>The Institutional Authority Firewall</w:t>
        <w:br/>
        <w:t>subtitle:</w:t>
        <w:br/>
        <w:t>Authority Non-Transitivity in Machine-Readable Evidence Infrastructure</w:t>
        <w:br/>
        <w:t>author:</w:t>
        <w:br/>
        <w:t>Anderson Yu</w:t>
        <w:br/>
        <w:t>publication_type:</w:t>
        <w:br/>
        <w:t>Institutional Analytical Paper</w:t>
        <w:br/>
        <w:t>publication_date:</w:t>
        <w:br/>
        <w:t>2026-09-21</w:t>
        <w:br/>
        <w:t>version:</w:t>
        <w:br/>
        <w:t>1.0</w:t>
        <w:br/>
        <w:t>doi:</w:t>
        <w:br/>
        <w:t>10.64969/emj.firewall.cd.2026.09.21</w:t>
        <w:br/>
        <w:t>doi_registration_status:</w:t>
        <w:br/>
        <w:t>pending_registration</w:t>
        <w:br/>
        <w:t>canonical_url:</w:t>
        <w:br/>
        <w:t>https://www.emj.life/publication-authority-firewall</w:t>
        <w:br/>
        <w:t>metadata_url:</w:t>
        <w:br/>
        <w:t>https://www.emj.life/publication-authority-firewall/metadata.json</w:t>
        <w:br/>
        <w:t>public_machine_access:</w:t>
        <w:br/>
        <w:t>retrieval_and_citation_only</w:t>
        <w:br/>
        <w:t>public_reuse_licence:</w:t>
        <w:br/>
        <w:t>not_asserted</w:t>
        <w:br/>
        <w:t>relationship_to_firewall_cd:</w:t>
        <w:br/>
        <w:t>analytical_companion</w:t>
        <w:br/>
        <w:t>firewall_cd_document_id:</w:t>
        <w:br/>
        <w:t>GWP00</w:t>
      </w:r>
      <w:r>
        <w:br w:type="page"/>
      </w:r>
      <w:r>
        <w:t>firewall_cd_doi:</w:t>
        <w:br/>
        <w:t>10.64969/emj.nexus.firewall.2026.01.01</w:t>
        <w:br/>
        <w:t>firewall_cd_canonical_url:</w:t>
        <w:br/>
        <w:t>https://www.emj.life/publication-firewall</w:t>
        <w:br/>
        <w:t>relationship_to_mwp04_aiedsm:</w:t>
        <w:br/>
        <w:t>analytical_companion</w:t>
        <w:br/>
        <w:t>mwp04_aiedsm_doi:</w:t>
        <w:br/>
        <w:t>10.64969/emj.mwp04.aiedsm.2026.v1.0</w:t>
        <w:br/>
        <w:t>official_standard:</w:t>
        <w:br/>
        <w:t>false</w:t>
        <w:br/>
        <w:t>regulatory_guidance:</w:t>
        <w:br/>
        <w:t>false</w:t>
        <w:br/>
        <w:t>peer_reviewed:</w:t>
        <w:br/>
        <w:t>false</w:t>
        <w:br/>
        <w:t>assurance_opinion:</w:t>
        <w:br/>
        <w:t>false</w:t>
        <w:br/>
        <w:t>certification:</w:t>
        <w:br/>
        <w:t>false</w:t>
        <w:br/>
        <w:t>endorsement:</w:t>
        <w:br/>
        <w:t>false</w:t>
        <w:br/>
        <w:t>delegated_standard_setting_authority:</w:t>
        <w:br/>
        <w:t>false</w:t>
        <w:br/>
        <w:t>relationship_assertion_scope:</w:t>
        <w:br/>
        <w:t>explicit_statement_only</w:t>
        <w:br/>
        <w:t>relationship_inference_extension:</w:t>
        <w:br/>
        <w:t>prohibited_without_separate_evidence</w:t>
        <w:br/>
        <w:t>authority_transfer:</w:t>
        <w:br/>
        <w:t>false</w:t>
        <w:br/>
        <w:t>independent_validation:</w:t>
        <w:br/>
        <w:t>not_claimed</w:t>
        <w:br/>
        <w:t>model_training_authorization:</w:t>
        <w:br/>
        <w:t>not_granted_by_this_publication</w:t>
        <w:br/>
        <w:t>bulk_extraction_authorization:</w:t>
        <w:br/>
        <w:t>not_granted_by_this_publication</w:t>
        <w:br/>
        <w:t>corpus_replication_authorization:</w:t>
        <w:br/>
        <w:t>not_granted_by_this_publication</w:t>
        <w:br/>
        <w:t>automated_institutional_action_authorization:</w:t>
        <w:br/>
        <w:t>not_granted_by_this_publication</w:t>
        <w:br/>
        <w:t>restricted_evidence_access:</w:t>
        <w:br/>
        <w:t>false</w:t>
        <w:br/>
        <w:t>modifies_firewall_cd:</w:t>
        <w:br/>
        <w:t>false</w:t>
        <w:br/>
        <w:t>supersedes_firewall_cd:</w:t>
        <w:br/>
        <w:t>false</w:t>
        <w:br/>
        <w:t>replaces_firewall_cd:</w:t>
        <w:br/>
        <w:t>false</w:t>
        <w:br/>
        <w:t>canonical_doctrine:</w:t>
        <w:br/>
        <w:t>Evidence may travel. Authority does not.</w:t>
      </w:r>
    </w:p>
    <w:sectPr w:rsidR="00FC693F" w:rsidRPr="0006063C" w:rsidSect="00034616">
      <w:headerReference w:type="default" r:id="rId11"/>
      <w:footerReference w:type="default" r:id="rId12"/>
      <w:pgSz w:w="11906" w:h="16838"/>
      <w:pgMar w:top="1020" w:right="1276" w:bottom="102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cs="Aptos"/>
        <w:color w:val="0A2F40"/>
        <w:sz w:val="15"/>
      </w:rPr>
      <w:t xml:space="preserve">The Institutional Authority Firewall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eastAsia="Aptos" w:cs="Aptos"/>
        <w:b/>
        <w:color w:val="0A2F40"/>
        <w:sz w:val="15"/>
      </w:rPr>
      <w:t>PRE-DISCLOSURE EVIDENCE INFRASTRUCTURE  |  EMJ.LIFE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5191B"/>
      <w:sz w:val="21"/>
      <w:lang w:val="en-GB" w:eastAsia="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GB" w:eastAsia="en-GB"/>
    </w:rPr>
  </w:style>
  <w:style w:type="character" w:customStyle="1" w:styleId="HeaderChar">
    <w:name w:val="Header Char"/>
    <w:basedOn w:val="DefaultParagraphFont"/>
    <w:link w:val="Header"/>
    <w:uiPriority w:val="99"/>
    <w:rsid w:val="00E618BF"/>
    <w:rPr>
      <w:lang w:val="en-GB" w:eastAsia="en-G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GB" w:eastAsia="en-GB"/>
    </w:rPr>
  </w:style>
  <w:style w:type="character" w:customStyle="1" w:styleId="FooterChar">
    <w:name w:val="Footer Char"/>
    <w:basedOn w:val="DefaultParagraphFont"/>
    <w:link w:val="Footer"/>
    <w:uiPriority w:val="99"/>
    <w:rsid w:val="00E618BF"/>
    <w:rPr>
      <w:lang w:val="en-GB" w:eastAsia="en-GB"/>
    </w:rPr>
  </w:style>
  <w:style w:type="paragraph" w:styleId="Heading1">
    <w:name w:val="heading 1"/>
    <w:basedOn w:val="Normal"/>
    <w:next w:val="Normal"/>
    <w:link w:val="Heading1Char"/>
    <w:uiPriority w:val="9"/>
    <w:qFormat/>
    <w:rsid w:val="00FC693F"/>
    <w:pPr>
      <w:keepNext/>
      <w:keepLines/>
      <w:spacing w:before="240" w:after="140"/>
      <w:outlineLvl w:val="0"/>
      <w:shd w:fill="176B87"/>
      <w:ind w:left="120" w:right="120"/>
    </w:pPr>
    <w:rPr>
      <w:rFonts w:asciiTheme="majorHAnsi" w:eastAsiaTheme="majorEastAsia" w:hAnsiTheme="majorHAnsi" w:cstheme="majorBidi" w:ascii="Aptos Display" w:hAnsi="Aptos Display"/>
      <w:b/>
      <w:bCs/>
      <w:color w:val="FFFFFF"/>
      <w:sz w:val="34"/>
      <w:szCs w:val="28"/>
      <w:lang w:val="en-GB" w:eastAsia="en-GB"/>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A2F40"/>
      <w:sz w:val="24"/>
      <w:szCs w:val="26"/>
      <w:lang w:val="en-GB" w:eastAsia="en-GB"/>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0A2F40"/>
      <w:sz w:val="21"/>
      <w:lang w:val="en-GB" w:eastAsia="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eastAsia="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eastAsia="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eastAsia="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eastAsia="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eastAsia="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eastAsia="en-GB"/>
    </w:rPr>
  </w:style>
  <w:style w:type="character" w:default="1" w:styleId="DefaultParagraphFont">
    <w:name w:val="Default Paragraph Font"/>
    <w:uiPriority w:val="1"/>
    <w:semiHidden/>
    <w:unhideWhenUsed/>
    <w:rPr>
      <w:lang w:val="en-GB" w:eastAsia="en-GB"/>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GB" w:eastAsia="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eastAsia="en-GB"/>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ptos Display" w:hAnsi="Aptos Display"/>
      <w:b/>
      <w:color w:val="0A2F40"/>
      <w:spacing w:val="5"/>
      <w:kern w:val="28"/>
      <w:sz w:val="52"/>
      <w:szCs w:val="52"/>
      <w:lang w:val="en-GB" w:eastAsia="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eastAsia="en-GB"/>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ptos" w:hAnsi="Aptos"/>
      <w:b w:val="0"/>
      <w:i/>
      <w:iCs/>
      <w:color w:val="176B87"/>
      <w:spacing w:val="15"/>
      <w:sz w:val="24"/>
      <w:szCs w:val="24"/>
      <w:lang w:val="en-GB" w:eastAsia="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eastAsia="en-GB"/>
    </w:rPr>
  </w:style>
  <w:style w:type="paragraph" w:styleId="ListParagraph">
    <w:name w:val="List Paragraph"/>
    <w:basedOn w:val="Normal"/>
    <w:uiPriority w:val="34"/>
    <w:qFormat/>
    <w:rsid w:val="00FC693F"/>
    <w:pPr>
      <w:ind w:left="720"/>
      <w:contextualSpacing/>
    </w:pPr>
    <w:rPr>
      <w:lang w:val="en-GB" w:eastAsia="en-GB"/>
    </w:rPr>
  </w:style>
  <w:style w:type="paragraph" w:styleId="BodyText">
    <w:name w:val="Body Text"/>
    <w:basedOn w:val="Normal"/>
    <w:link w:val="BodyTextChar"/>
    <w:uiPriority w:val="99"/>
    <w:unhideWhenUsed/>
    <w:rsid w:val="00AA1D8D"/>
    <w:pPr>
      <w:spacing w:after="120"/>
    </w:pPr>
    <w:rPr>
      <w:lang w:val="en-GB" w:eastAsia="en-GB"/>
    </w:rPr>
  </w:style>
  <w:style w:type="character" w:customStyle="1" w:styleId="BodyTextChar">
    <w:name w:val="Body Text Char"/>
    <w:basedOn w:val="DefaultParagraphFont"/>
    <w:link w:val="BodyText"/>
    <w:uiPriority w:val="99"/>
    <w:rsid w:val="00AA1D8D"/>
    <w:rPr>
      <w:lang w:val="en-GB" w:eastAsia="en-GB"/>
    </w:rPr>
  </w:style>
  <w:style w:type="paragraph" w:styleId="BodyText2">
    <w:name w:val="Body Text 2"/>
    <w:basedOn w:val="Normal"/>
    <w:link w:val="BodyText2Char"/>
    <w:uiPriority w:val="99"/>
    <w:unhideWhenUsed/>
    <w:rsid w:val="00AA1D8D"/>
    <w:pPr>
      <w:spacing w:after="120" w:line="480" w:lineRule="auto"/>
    </w:pPr>
    <w:rPr>
      <w:lang w:val="en-GB" w:eastAsia="en-GB"/>
    </w:rPr>
  </w:style>
  <w:style w:type="character" w:customStyle="1" w:styleId="BodyText2Char">
    <w:name w:val="Body Text 2 Char"/>
    <w:basedOn w:val="DefaultParagraphFont"/>
    <w:link w:val="BodyText2"/>
    <w:uiPriority w:val="99"/>
    <w:rsid w:val="00AA1D8D"/>
    <w:rPr>
      <w:lang w:val="en-GB" w:eastAsia="en-GB"/>
    </w:rPr>
  </w:style>
  <w:style w:type="paragraph" w:styleId="BodyText3">
    <w:name w:val="Body Text 3"/>
    <w:basedOn w:val="Normal"/>
    <w:link w:val="BodyText3Char"/>
    <w:uiPriority w:val="99"/>
    <w:unhideWhenUsed/>
    <w:rsid w:val="00AA1D8D"/>
    <w:pPr>
      <w:spacing w:after="120"/>
    </w:pPr>
    <w:rPr>
      <w:sz w:val="16"/>
      <w:szCs w:val="16"/>
      <w:lang w:val="en-GB" w:eastAsia="en-GB"/>
    </w:rPr>
  </w:style>
  <w:style w:type="character" w:customStyle="1" w:styleId="BodyText3Char">
    <w:name w:val="Body Text 3 Char"/>
    <w:basedOn w:val="DefaultParagraphFont"/>
    <w:link w:val="BodyText3"/>
    <w:uiPriority w:val="99"/>
    <w:rsid w:val="00AA1D8D"/>
    <w:rPr>
      <w:sz w:val="16"/>
      <w:szCs w:val="16"/>
      <w:lang w:val="en-GB" w:eastAsia="en-GB"/>
    </w:rPr>
  </w:style>
  <w:style w:type="paragraph" w:styleId="List">
    <w:name w:val="List"/>
    <w:basedOn w:val="Normal"/>
    <w:uiPriority w:val="99"/>
    <w:unhideWhenUsed/>
    <w:rsid w:val="00AA1D8D"/>
    <w:pPr>
      <w:ind w:left="360" w:hanging="360"/>
      <w:contextualSpacing/>
    </w:pPr>
    <w:rPr>
      <w:lang w:val="en-GB" w:eastAsia="en-GB"/>
    </w:rPr>
  </w:style>
  <w:style w:type="paragraph" w:styleId="List2">
    <w:name w:val="List 2"/>
    <w:basedOn w:val="Normal"/>
    <w:uiPriority w:val="99"/>
    <w:unhideWhenUsed/>
    <w:rsid w:val="00326F90"/>
    <w:pPr>
      <w:ind w:left="720" w:hanging="360"/>
      <w:contextualSpacing/>
    </w:pPr>
    <w:rPr>
      <w:lang w:val="en-GB" w:eastAsia="en-GB"/>
    </w:rPr>
  </w:style>
  <w:style w:type="paragraph" w:styleId="List3">
    <w:name w:val="List 3"/>
    <w:basedOn w:val="Normal"/>
    <w:uiPriority w:val="99"/>
    <w:unhideWhenUsed/>
    <w:rsid w:val="00326F90"/>
    <w:pPr>
      <w:ind w:left="1080" w:hanging="360"/>
      <w:contextualSpacing/>
    </w:pPr>
    <w:rPr>
      <w:lang w:val="en-GB" w:eastAsia="en-GB"/>
    </w:rPr>
  </w:style>
  <w:style w:type="paragraph" w:styleId="ListBullet">
    <w:name w:val="List Bullet"/>
    <w:basedOn w:val="Normal"/>
    <w:uiPriority w:val="99"/>
    <w:unhideWhenUsed/>
    <w:rsid w:val="00326F90"/>
    <w:pPr>
      <w:numPr>
        <w:numId w:val="1"/>
      </w:numPr>
      <w:contextualSpacing/>
    </w:pPr>
    <w:rPr>
      <w:lang w:val="en-GB" w:eastAsia="en-GB"/>
    </w:rPr>
  </w:style>
  <w:style w:type="paragraph" w:styleId="ListBullet2">
    <w:name w:val="List Bullet 2"/>
    <w:basedOn w:val="Normal"/>
    <w:uiPriority w:val="99"/>
    <w:unhideWhenUsed/>
    <w:rsid w:val="00326F90"/>
    <w:pPr>
      <w:numPr>
        <w:numId w:val="2"/>
      </w:numPr>
      <w:contextualSpacing/>
    </w:pPr>
    <w:rPr>
      <w:lang w:val="en-GB" w:eastAsia="en-GB"/>
    </w:rPr>
  </w:style>
  <w:style w:type="paragraph" w:styleId="ListBullet3">
    <w:name w:val="List Bullet 3"/>
    <w:basedOn w:val="Normal"/>
    <w:uiPriority w:val="99"/>
    <w:unhideWhenUsed/>
    <w:rsid w:val="00326F90"/>
    <w:pPr>
      <w:numPr>
        <w:numId w:val="3"/>
      </w:numPr>
      <w:contextualSpacing/>
    </w:pPr>
    <w:rPr>
      <w:lang w:val="en-GB" w:eastAsia="en-GB"/>
    </w:rPr>
  </w:style>
  <w:style w:type="paragraph" w:styleId="ListNumber">
    <w:name w:val="List Number"/>
    <w:basedOn w:val="Normal"/>
    <w:uiPriority w:val="99"/>
    <w:unhideWhenUsed/>
    <w:rsid w:val="00326F90"/>
    <w:pPr>
      <w:numPr>
        <w:numId w:val="5"/>
      </w:numPr>
      <w:contextualSpacing/>
    </w:pPr>
    <w:rPr>
      <w:lang w:val="en-GB" w:eastAsia="en-GB"/>
    </w:rPr>
  </w:style>
  <w:style w:type="paragraph" w:styleId="ListNumber2">
    <w:name w:val="List Number 2"/>
    <w:basedOn w:val="Normal"/>
    <w:uiPriority w:val="99"/>
    <w:unhideWhenUsed/>
    <w:rsid w:val="0029639D"/>
    <w:pPr>
      <w:numPr>
        <w:numId w:val="6"/>
      </w:numPr>
      <w:contextualSpacing/>
    </w:pPr>
    <w:rPr>
      <w:lang w:val="en-GB" w:eastAsia="en-GB"/>
    </w:rPr>
  </w:style>
  <w:style w:type="paragraph" w:styleId="ListNumber3">
    <w:name w:val="List Number 3"/>
    <w:basedOn w:val="Normal"/>
    <w:uiPriority w:val="99"/>
    <w:unhideWhenUsed/>
    <w:rsid w:val="0029639D"/>
    <w:pPr>
      <w:numPr>
        <w:numId w:val="7"/>
      </w:numPr>
      <w:contextualSpacing/>
    </w:pPr>
    <w:rPr>
      <w:lang w:val="en-GB" w:eastAsia="en-GB"/>
    </w:rPr>
  </w:style>
  <w:style w:type="paragraph" w:styleId="ListContinue">
    <w:name w:val="List Continue"/>
    <w:basedOn w:val="Normal"/>
    <w:uiPriority w:val="99"/>
    <w:unhideWhenUsed/>
    <w:rsid w:val="0029639D"/>
    <w:pPr>
      <w:spacing w:after="120"/>
      <w:ind w:left="360"/>
      <w:contextualSpacing/>
    </w:pPr>
    <w:rPr>
      <w:lang w:val="en-GB" w:eastAsia="en-GB"/>
    </w:rPr>
  </w:style>
  <w:style w:type="paragraph" w:styleId="ListContinue2">
    <w:name w:val="List Continue 2"/>
    <w:basedOn w:val="Normal"/>
    <w:uiPriority w:val="99"/>
    <w:unhideWhenUsed/>
    <w:rsid w:val="0029639D"/>
    <w:pPr>
      <w:spacing w:after="120"/>
      <w:ind w:left="720"/>
      <w:contextualSpacing/>
    </w:pPr>
    <w:rPr>
      <w:lang w:val="en-GB" w:eastAsia="en-GB"/>
    </w:rPr>
  </w:style>
  <w:style w:type="paragraph" w:styleId="ListContinue3">
    <w:name w:val="List Continue 3"/>
    <w:basedOn w:val="Normal"/>
    <w:uiPriority w:val="99"/>
    <w:unhideWhenUsed/>
    <w:rsid w:val="0029639D"/>
    <w:pPr>
      <w:spacing w:after="120"/>
      <w:ind w:left="1080"/>
      <w:contextualSpacing/>
    </w:pPr>
    <w:rPr>
      <w:lang w:val="en-GB" w:eastAsia="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eastAsia="en-GB"/>
    </w:rPr>
  </w:style>
  <w:style w:type="character" w:customStyle="1" w:styleId="MacroTextChar">
    <w:name w:val="Macro Text Char"/>
    <w:basedOn w:val="DefaultParagraphFont"/>
    <w:link w:val="MacroText"/>
    <w:uiPriority w:val="99"/>
    <w:rsid w:val="0029639D"/>
    <w:rPr>
      <w:rFonts w:ascii="Courier" w:hAnsi="Courier"/>
      <w:sz w:val="20"/>
      <w:szCs w:val="20"/>
      <w:lang w:val="en-GB" w:eastAsia="en-GB"/>
    </w:rPr>
  </w:style>
  <w:style w:type="paragraph" w:styleId="Quote">
    <w:name w:val="Quote"/>
    <w:basedOn w:val="Normal"/>
    <w:next w:val="Normal"/>
    <w:link w:val="QuoteChar"/>
    <w:uiPriority w:val="29"/>
    <w:qFormat/>
    <w:rsid w:val="00FC693F"/>
    <w:rPr>
      <w:i/>
      <w:iCs/>
      <w:color w:val="000000" w:themeColor="text1"/>
      <w:lang w:val="en-GB" w:eastAsia="en-GB"/>
    </w:rPr>
  </w:style>
  <w:style w:type="character" w:customStyle="1" w:styleId="QuoteChar">
    <w:name w:val="Quote Char"/>
    <w:basedOn w:val="DefaultParagraphFont"/>
    <w:link w:val="Quote"/>
    <w:uiPriority w:val="29"/>
    <w:rsid w:val="00FC693F"/>
    <w:rPr>
      <w:i/>
      <w:iCs/>
      <w:color w:val="000000" w:themeColor="text1"/>
      <w:lang w:val="en-GB" w:eastAsia="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eastAsia="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eastAsia="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eastAsia="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eastAsia="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eastAsia="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eastAsia="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eastAsia="en-GB"/>
    </w:rPr>
  </w:style>
  <w:style w:type="character" w:styleId="Strong">
    <w:name w:val="Strong"/>
    <w:basedOn w:val="DefaultParagraphFont"/>
    <w:uiPriority w:val="22"/>
    <w:qFormat/>
    <w:rsid w:val="00FC693F"/>
    <w:rPr>
      <w:b/>
      <w:bCs/>
      <w:lang w:val="en-GB" w:eastAsia="en-GB"/>
    </w:rPr>
  </w:style>
  <w:style w:type="character" w:styleId="Emphasis">
    <w:name w:val="Emphasis"/>
    <w:basedOn w:val="DefaultParagraphFont"/>
    <w:uiPriority w:val="20"/>
    <w:qFormat/>
    <w:rsid w:val="00FC693F"/>
    <w:rPr>
      <w:i/>
      <w:iCs/>
      <w:lang w:val="en-GB" w:eastAsia="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eastAsia="en-GB"/>
    </w:rPr>
  </w:style>
  <w:style w:type="character" w:customStyle="1" w:styleId="IntenseQuoteChar">
    <w:name w:val="Intense Quote Char"/>
    <w:basedOn w:val="DefaultParagraphFont"/>
    <w:link w:val="IntenseQuote"/>
    <w:uiPriority w:val="30"/>
    <w:rsid w:val="00FC693F"/>
    <w:rPr>
      <w:b/>
      <w:bCs/>
      <w:i/>
      <w:iCs/>
      <w:color w:val="4F81BD" w:themeColor="accent1"/>
      <w:lang w:val="en-GB" w:eastAsia="en-GB"/>
    </w:rPr>
  </w:style>
  <w:style w:type="character" w:styleId="SubtleEmphasis">
    <w:name w:val="Subtle Emphasis"/>
    <w:basedOn w:val="DefaultParagraphFont"/>
    <w:uiPriority w:val="19"/>
    <w:qFormat/>
    <w:rsid w:val="00FC693F"/>
    <w:rPr>
      <w:i/>
      <w:iCs/>
      <w:color w:val="808080" w:themeColor="text1" w:themeTint="7F"/>
      <w:lang w:val="en-GB" w:eastAsia="en-GB"/>
    </w:rPr>
  </w:style>
  <w:style w:type="character" w:styleId="IntenseEmphasis">
    <w:name w:val="Intense Emphasis"/>
    <w:basedOn w:val="DefaultParagraphFont"/>
    <w:uiPriority w:val="21"/>
    <w:qFormat/>
    <w:rsid w:val="00FC693F"/>
    <w:rPr>
      <w:b/>
      <w:bCs/>
      <w:i/>
      <w:iCs/>
      <w:color w:val="4F81BD" w:themeColor="accent1"/>
      <w:lang w:val="en-GB" w:eastAsia="en-GB"/>
    </w:rPr>
  </w:style>
  <w:style w:type="character" w:styleId="SubtleReference">
    <w:name w:val="Subtle Reference"/>
    <w:basedOn w:val="DefaultParagraphFont"/>
    <w:uiPriority w:val="31"/>
    <w:qFormat/>
    <w:rsid w:val="00FC693F"/>
    <w:rPr>
      <w:smallCaps/>
      <w:color w:val="C0504D" w:themeColor="accent2"/>
      <w:u w:val="single"/>
      <w:lang w:val="en-GB" w:eastAsia="en-GB"/>
    </w:rPr>
  </w:style>
  <w:style w:type="character" w:styleId="IntenseReference">
    <w:name w:val="Intense Reference"/>
    <w:basedOn w:val="DefaultParagraphFont"/>
    <w:uiPriority w:val="32"/>
    <w:qFormat/>
    <w:rsid w:val="00FC693F"/>
    <w:rPr>
      <w:b/>
      <w:bCs/>
      <w:smallCaps/>
      <w:color w:val="C0504D" w:themeColor="accent2"/>
      <w:spacing w:val="5"/>
      <w:u w:val="single"/>
      <w:lang w:val="en-GB" w:eastAsia="en-GB"/>
    </w:rPr>
  </w:style>
  <w:style w:type="character" w:styleId="BookTitle">
    <w:name w:val="Book Title"/>
    <w:basedOn w:val="DefaultParagraphFont"/>
    <w:uiPriority w:val="33"/>
    <w:qFormat/>
    <w:rsid w:val="00FC693F"/>
    <w:rPr>
      <w:b/>
      <w:bCs/>
      <w:smallCaps/>
      <w:spacing w:val="5"/>
      <w:lang w:val="en-GB" w:eastAsia="en-GB"/>
    </w:rPr>
  </w:style>
  <w:style w:type="paragraph" w:styleId="TOCHeading">
    <w:name w:val="TOC Heading"/>
    <w:basedOn w:val="Heading1"/>
    <w:next w:val="Normal"/>
    <w:uiPriority w:val="39"/>
    <w:semiHidden/>
    <w:unhideWhenUsed/>
    <w:qFormat/>
    <w:rsid w:val="00FC693F"/>
    <w:pPr>
      <w:outlineLvl w:val="9"/>
    </w:pPr>
    <w:rPr>
      <w:lang w:val="en-GB" w:eastAsia="en-GB"/>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40"/>
      <w:ind w:left="283"/>
    </w:pPr>
    <w:rPr>
      <w:rFonts w:ascii="DejaVu Sans Mono" w:hAnsi="DejaVu Sans Mono"/>
      <w:color w:val="0A2F40"/>
      <w:sz w:val="18"/>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64969/emj.firewall.cd.2026.09.21" TargetMode="External"/><Relationship Id="rId10" Type="http://schemas.openxmlformats.org/officeDocument/2006/relationships/hyperlink" Target="https://orcid.org/0009-0002-2161-5808" TargetMode="Externa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Institutional Authority Firewall</dc:title>
  <dc:subject>Authority Non-Transitivity in Machine-Readable Evidence Infrastructure</dc:subject>
  <dc:creator>Anderson Yu</dc:creator>
  <cp:keywords>institutional authority, authority non-transitivity, machine-readable evidence infrastructure, AI governance, Firewall-CD, MWP04-AIEDSM</cp:keywords>
  <dc:description>Controlled publication version 1.0, 21 September 2026</dc:description>
  <cp:lastModifiedBy/>
  <cp:revision>1</cp:revision>
  <dcterms:created xsi:type="dcterms:W3CDTF">2013-12-23T23:15:00Z</dcterms:created>
  <dcterms:modified xsi:type="dcterms:W3CDTF">2013-12-23T23:15:00Z</dcterms:modified>
  <cp:category>Institutional Analytical Paper</cp:category>
</cp:coreProperties>
</file>